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Calibri" w:cs="宋体"/>
          <w:b/>
          <w:sz w:val="44"/>
          <w:szCs w:val="44"/>
        </w:rPr>
      </w:pPr>
    </w:p>
    <w:p>
      <w:pPr>
        <w:jc w:val="center"/>
        <w:rPr>
          <w:rFonts w:ascii="仿宋_GB2312" w:hAnsi="宋体" w:eastAsia="仿宋_GB2312" w:cs="宋体"/>
          <w:b/>
          <w:color w:val="000000"/>
          <w:sz w:val="44"/>
          <w:szCs w:val="44"/>
        </w:rPr>
      </w:pPr>
      <w:r>
        <w:rPr>
          <w:rFonts w:hint="eastAsia" w:ascii="仿宋_GB2312" w:hAnsi="宋体" w:eastAsia="仿宋_GB2312" w:cs="宋体"/>
          <w:b/>
          <w:sz w:val="44"/>
          <w:szCs w:val="44"/>
        </w:rPr>
        <w:t>常州市优秀</w:t>
      </w:r>
      <w:r>
        <w:rPr>
          <w:rFonts w:hint="eastAsia" w:ascii="仿宋_GB2312" w:hAnsi="宋体" w:eastAsia="仿宋_GB2312" w:cs="宋体"/>
          <w:b/>
          <w:color w:val="000000"/>
          <w:sz w:val="44"/>
          <w:szCs w:val="44"/>
        </w:rPr>
        <w:t>物业管理项目</w:t>
      </w:r>
    </w:p>
    <w:p>
      <w:pPr>
        <w:jc w:val="center"/>
        <w:rPr>
          <w:rFonts w:ascii="仿宋_GB2312" w:hAnsi="宋体" w:eastAsia="仿宋_GB2312" w:cs="宋体"/>
          <w:b/>
          <w:color w:val="000000"/>
          <w:sz w:val="44"/>
          <w:szCs w:val="44"/>
        </w:rPr>
      </w:pPr>
      <w:r>
        <w:rPr>
          <w:rFonts w:hint="eastAsia" w:ascii="仿宋_GB2312" w:hAnsi="宋体" w:eastAsia="仿宋_GB2312" w:cs="宋体"/>
          <w:b/>
          <w:sz w:val="44"/>
          <w:szCs w:val="44"/>
        </w:rPr>
        <w:t>申报表</w:t>
      </w:r>
    </w:p>
    <w:p>
      <w:pPr>
        <w:rPr>
          <w:rFonts w:ascii="仿宋_GB2312" w:eastAsia="仿宋_GB2312" w:cs="宋体"/>
          <w:b/>
          <w:sz w:val="44"/>
          <w:szCs w:val="44"/>
        </w:rPr>
      </w:pPr>
      <w:r>
        <w:rPr>
          <w:rFonts w:hint="eastAsia" w:ascii="仿宋_GB2312" w:hAnsi="宋体" w:eastAsia="仿宋_GB2312" w:cs="宋体"/>
          <w:b/>
          <w:sz w:val="44"/>
          <w:szCs w:val="44"/>
        </w:rPr>
        <w:t xml:space="preserve">              （公共物业）</w:t>
      </w: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ind w:firstLine="1120" w:firstLineChars="350"/>
        <w:rPr>
          <w:rFonts w:ascii="仿宋_GB2312" w:eastAsia="仿宋_GB2312"/>
          <w:bCs/>
          <w:sz w:val="32"/>
          <w:szCs w:val="32"/>
          <w:u w:val="single"/>
        </w:rPr>
      </w:pPr>
      <w:r>
        <w:rPr>
          <w:rFonts w:hint="eastAsia" w:ascii="仿宋_GB2312" w:hAnsi="宋体" w:eastAsia="仿宋_GB2312"/>
          <w:bCs/>
          <w:sz w:val="32"/>
          <w:szCs w:val="32"/>
        </w:rPr>
        <w:t>项目名称：</w:t>
      </w:r>
    </w:p>
    <w:p>
      <w:pPr>
        <w:ind w:firstLine="1120" w:firstLineChars="350"/>
        <w:rPr>
          <w:rFonts w:ascii="仿宋_GB2312" w:eastAsia="仿宋_GB2312"/>
          <w:bCs/>
          <w:sz w:val="32"/>
          <w:szCs w:val="32"/>
          <w:u w:val="single"/>
        </w:rPr>
      </w:pPr>
      <w:r>
        <w:rPr>
          <w:rFonts w:hint="eastAsia" w:ascii="仿宋_GB2312" w:hAnsi="宋体" w:eastAsia="仿宋_GB2312"/>
          <w:bCs/>
          <w:sz w:val="32"/>
          <w:szCs w:val="32"/>
        </w:rPr>
        <w:t>申报日期：</w:t>
      </w:r>
    </w:p>
    <w:p>
      <w:pPr>
        <w:ind w:firstLine="1120" w:firstLineChars="350"/>
        <w:rPr>
          <w:rFonts w:ascii="仿宋_GB2312" w:eastAsia="仿宋_GB2312"/>
          <w:bCs/>
          <w:sz w:val="32"/>
          <w:szCs w:val="32"/>
          <w:u w:val="single"/>
        </w:rPr>
      </w:pPr>
      <w:r>
        <w:rPr>
          <w:rFonts w:hint="eastAsia" w:ascii="仿宋_GB2312" w:hAnsi="宋体" w:eastAsia="仿宋_GB2312"/>
          <w:bCs/>
          <w:sz w:val="32"/>
          <w:szCs w:val="32"/>
        </w:rPr>
        <w:t>服务企业名称：（章）</w:t>
      </w:r>
    </w:p>
    <w:p>
      <w:pPr>
        <w:ind w:firstLine="2080" w:firstLineChars="650"/>
        <w:rPr>
          <w:rFonts w:ascii="仿宋_GB2312" w:eastAsia="仿宋_GB2312"/>
          <w:bCs/>
          <w:sz w:val="32"/>
          <w:szCs w:val="32"/>
        </w:rPr>
      </w:pPr>
    </w:p>
    <w:p>
      <w:pPr>
        <w:ind w:firstLine="2080" w:firstLineChars="650"/>
        <w:rPr>
          <w:rFonts w:ascii="仿宋_GB2312" w:eastAsia="仿宋_GB2312"/>
          <w:bCs/>
          <w:sz w:val="32"/>
          <w:szCs w:val="32"/>
        </w:rPr>
      </w:pPr>
    </w:p>
    <w:p>
      <w:pPr>
        <w:ind w:firstLine="2088" w:firstLineChars="650"/>
        <w:rPr>
          <w:rFonts w:ascii="宋体"/>
          <w:b/>
          <w:sz w:val="32"/>
          <w:szCs w:val="32"/>
        </w:rPr>
      </w:pPr>
    </w:p>
    <w:p>
      <w:pPr>
        <w:ind w:firstLine="2088" w:firstLineChars="650"/>
        <w:rPr>
          <w:rFonts w:ascii="宋体"/>
          <w:b/>
          <w:sz w:val="32"/>
          <w:szCs w:val="32"/>
        </w:rPr>
      </w:pPr>
    </w:p>
    <w:p>
      <w:pPr>
        <w:ind w:firstLine="2088" w:firstLineChars="650"/>
        <w:rPr>
          <w:rFonts w:ascii="宋体"/>
          <w:b/>
          <w:sz w:val="32"/>
          <w:szCs w:val="32"/>
        </w:rPr>
      </w:pPr>
    </w:p>
    <w:p>
      <w:pPr>
        <w:ind w:firstLine="2088" w:firstLineChars="650"/>
        <w:rPr>
          <w:rFonts w:ascii="宋体"/>
          <w:b/>
          <w:sz w:val="32"/>
          <w:szCs w:val="32"/>
        </w:rPr>
      </w:pPr>
    </w:p>
    <w:p>
      <w:pPr>
        <w:ind w:firstLine="2088" w:firstLineChars="650"/>
        <w:rPr>
          <w:rFonts w:ascii="宋体"/>
          <w:b/>
          <w:sz w:val="32"/>
          <w:szCs w:val="32"/>
        </w:rPr>
      </w:pPr>
    </w:p>
    <w:p>
      <w:pPr>
        <w:rPr>
          <w:rFonts w:ascii="宋体"/>
          <w:b/>
          <w:sz w:val="36"/>
          <w:szCs w:val="36"/>
        </w:rPr>
      </w:pPr>
    </w:p>
    <w:p>
      <w:pPr>
        <w:ind w:firstLine="2831" w:firstLineChars="641"/>
        <w:rPr>
          <w:rFonts w:ascii="仿宋_GB2312" w:hAnsi="宋体" w:eastAsia="仿宋_GB2312"/>
          <w:b/>
          <w:sz w:val="44"/>
          <w:szCs w:val="44"/>
        </w:rPr>
      </w:pPr>
      <w:r>
        <w:rPr>
          <w:rFonts w:hint="eastAsia" w:ascii="仿宋_GB2312" w:hAnsi="宋体" w:eastAsia="仿宋_GB2312"/>
          <w:b/>
          <w:sz w:val="44"/>
          <w:szCs w:val="44"/>
        </w:rPr>
        <w:t>说   明</w:t>
      </w:r>
    </w:p>
    <w:p>
      <w:pPr>
        <w:ind w:firstLine="1431" w:firstLineChars="396"/>
        <w:rPr>
          <w:rFonts w:ascii="仿宋_GB2312" w:eastAsia="仿宋_GB2312"/>
          <w:b/>
          <w:sz w:val="36"/>
          <w:szCs w:val="36"/>
        </w:rPr>
      </w:pPr>
    </w:p>
    <w:p>
      <w:pPr>
        <w:ind w:firstLine="640" w:firstLineChars="200"/>
        <w:rPr>
          <w:rFonts w:ascii="仿宋_GB2312" w:eastAsia="仿宋_GB2312"/>
          <w:bCs/>
          <w:sz w:val="32"/>
          <w:szCs w:val="32"/>
        </w:rPr>
      </w:pPr>
      <w:r>
        <w:rPr>
          <w:rFonts w:hint="eastAsia" w:ascii="仿宋_GB2312" w:hAnsi="宋体" w:eastAsia="仿宋_GB2312"/>
          <w:bCs/>
          <w:sz w:val="32"/>
          <w:szCs w:val="32"/>
        </w:rPr>
        <w:t>一、本表由申报常州市</w:t>
      </w:r>
      <w:r>
        <w:rPr>
          <w:rFonts w:hint="eastAsia" w:ascii="仿宋_GB2312" w:hAnsi="宋体" w:eastAsia="仿宋_GB2312" w:cs="宋体"/>
          <w:bCs/>
          <w:sz w:val="32"/>
          <w:szCs w:val="32"/>
        </w:rPr>
        <w:t>优秀</w:t>
      </w:r>
      <w:r>
        <w:rPr>
          <w:rFonts w:hint="eastAsia" w:ascii="仿宋_GB2312" w:hAnsi="宋体" w:eastAsia="仿宋_GB2312" w:cs="宋体"/>
          <w:bCs/>
          <w:color w:val="000000"/>
          <w:sz w:val="32"/>
          <w:szCs w:val="32"/>
        </w:rPr>
        <w:t>物业管理项目</w:t>
      </w:r>
      <w:r>
        <w:rPr>
          <w:rFonts w:hint="eastAsia" w:ascii="仿宋_GB2312" w:hAnsi="宋体" w:eastAsia="仿宋_GB2312"/>
          <w:bCs/>
          <w:sz w:val="32"/>
          <w:szCs w:val="32"/>
        </w:rPr>
        <w:t>的服务企业及行政主管部门填写。</w:t>
      </w:r>
    </w:p>
    <w:p>
      <w:pPr>
        <w:ind w:firstLine="640" w:firstLineChars="200"/>
        <w:rPr>
          <w:rFonts w:ascii="仿宋_GB2312" w:eastAsia="仿宋_GB2312"/>
          <w:bCs/>
          <w:sz w:val="32"/>
          <w:szCs w:val="32"/>
        </w:rPr>
      </w:pPr>
      <w:r>
        <w:rPr>
          <w:rFonts w:hint="eastAsia" w:ascii="仿宋_GB2312" w:hAnsi="宋体" w:eastAsia="仿宋_GB2312"/>
          <w:bCs/>
          <w:sz w:val="32"/>
          <w:szCs w:val="32"/>
        </w:rPr>
        <w:t>二、表格内不敷填写，可另加附页。</w:t>
      </w:r>
    </w:p>
    <w:p>
      <w:pPr>
        <w:ind w:firstLine="640" w:firstLineChars="200"/>
        <w:rPr>
          <w:rFonts w:ascii="仿宋_GB2312" w:eastAsia="仿宋_GB2312"/>
          <w:bCs/>
          <w:sz w:val="32"/>
          <w:szCs w:val="32"/>
        </w:rPr>
      </w:pPr>
      <w:r>
        <w:rPr>
          <w:rFonts w:hint="eastAsia" w:ascii="仿宋_GB2312" w:hAnsi="宋体" w:eastAsia="仿宋_GB2312"/>
          <w:bCs/>
          <w:sz w:val="32"/>
          <w:szCs w:val="32"/>
        </w:rPr>
        <w:t>三、如实填写，切勿作假。</w:t>
      </w:r>
    </w:p>
    <w:p>
      <w:pPr>
        <w:ind w:firstLine="640" w:firstLineChars="200"/>
        <w:rPr>
          <w:rFonts w:ascii="仿宋_GB2312" w:eastAsia="仿宋_GB2312"/>
          <w:bCs/>
          <w:sz w:val="32"/>
          <w:szCs w:val="32"/>
        </w:rPr>
      </w:pPr>
      <w:r>
        <w:rPr>
          <w:rFonts w:hint="eastAsia" w:ascii="仿宋_GB2312" w:hAnsi="宋体" w:eastAsia="仿宋_GB2312"/>
          <w:bCs/>
          <w:sz w:val="32"/>
          <w:szCs w:val="32"/>
        </w:rPr>
        <w:t>四、字迹清楚、端正。</w:t>
      </w: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p>
      <w:pPr>
        <w:rPr>
          <w:rFonts w:ascii="宋体"/>
          <w:b/>
          <w:sz w:val="32"/>
          <w:szCs w:val="32"/>
        </w:rPr>
      </w:pPr>
    </w:p>
    <w:tbl>
      <w:tblPr>
        <w:tblStyle w:val="8"/>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65"/>
        <w:gridCol w:w="1675"/>
        <w:gridCol w:w="1440"/>
        <w:gridCol w:w="1260"/>
        <w:gridCol w:w="1440"/>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r>
              <w:rPr>
                <w:rFonts w:hint="eastAsia" w:ascii="宋体" w:hAnsi="宋体" w:cs="宋体"/>
                <w:sz w:val="24"/>
              </w:rPr>
              <w:t>物业项目</w:t>
            </w:r>
          </w:p>
          <w:p>
            <w:pPr>
              <w:jc w:val="center"/>
              <w:rPr>
                <w:rFonts w:ascii="宋体" w:eastAsia="仿宋_GB2312" w:cs="宋体"/>
                <w:sz w:val="24"/>
                <w:szCs w:val="22"/>
              </w:rPr>
            </w:pPr>
            <w:r>
              <w:rPr>
                <w:rFonts w:hint="eastAsia" w:ascii="宋体" w:hAnsi="宋体" w:cs="宋体"/>
                <w:sz w:val="24"/>
              </w:rPr>
              <w:t>名称</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sz w:val="24"/>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r>
              <w:rPr>
                <w:rFonts w:hint="eastAsia" w:ascii="宋体" w:hAnsi="宋体" w:cs="宋体"/>
                <w:sz w:val="24"/>
              </w:rPr>
              <w:t>竣工交付</w:t>
            </w:r>
          </w:p>
          <w:p>
            <w:pPr>
              <w:jc w:val="center"/>
              <w:rPr>
                <w:rFonts w:ascii="宋体" w:eastAsia="仿宋_GB2312" w:cs="宋体"/>
                <w:sz w:val="24"/>
                <w:szCs w:val="22"/>
              </w:rPr>
            </w:pPr>
            <w:r>
              <w:rPr>
                <w:rFonts w:hint="eastAsia" w:ascii="宋体" w:hAnsi="宋体" w:cs="宋体"/>
                <w:sz w:val="24"/>
              </w:rPr>
              <w:t>时间</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sz w:val="24"/>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eastAsia="仿宋_GB2312" w:cs="宋体"/>
                <w:sz w:val="24"/>
                <w:szCs w:val="22"/>
              </w:rPr>
            </w:pPr>
            <w:r>
              <w:rPr>
                <w:rFonts w:hint="eastAsia" w:ascii="宋体" w:hAnsi="宋体" w:cs="宋体"/>
                <w:sz w:val="24"/>
              </w:rPr>
              <w:t>物业类型</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r>
              <w:rPr>
                <w:rFonts w:hint="eastAsia" w:ascii="宋体" w:hAnsi="宋体" w:cs="宋体"/>
                <w:sz w:val="24"/>
              </w:rPr>
              <w:t>物业项目</w:t>
            </w:r>
          </w:p>
          <w:p>
            <w:pPr>
              <w:jc w:val="center"/>
              <w:rPr>
                <w:rFonts w:ascii="宋体" w:eastAsia="仿宋_GB2312" w:cs="宋体"/>
                <w:sz w:val="24"/>
                <w:szCs w:val="22"/>
              </w:rPr>
            </w:pPr>
            <w:r>
              <w:rPr>
                <w:rFonts w:hint="eastAsia" w:ascii="宋体" w:hAnsi="宋体" w:cs="宋体"/>
                <w:sz w:val="24"/>
              </w:rPr>
              <w:t>地址</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sz w:val="24"/>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sz w:val="24"/>
                <w:szCs w:val="22"/>
              </w:rPr>
            </w:pPr>
            <w:r>
              <w:rPr>
                <w:rFonts w:hint="eastAsia" w:ascii="宋体" w:hAnsi="宋体" w:cs="宋体"/>
                <w:sz w:val="24"/>
              </w:rPr>
              <w:t>建筑面积</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sz w:val="24"/>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r>
              <w:rPr>
                <w:rFonts w:hint="eastAsia" w:ascii="宋体" w:hAnsi="宋体" w:cs="宋体"/>
                <w:sz w:val="24"/>
              </w:rPr>
              <w:t>业主（或管理）委员会</w:t>
            </w:r>
          </w:p>
          <w:p>
            <w:pPr>
              <w:jc w:val="center"/>
              <w:rPr>
                <w:rFonts w:ascii="宋体" w:hAnsi="宋体" w:eastAsia="仿宋_GB2312" w:cs="宋体"/>
                <w:sz w:val="24"/>
              </w:rPr>
            </w:pPr>
            <w:r>
              <w:rPr>
                <w:rFonts w:hint="eastAsia" w:ascii="宋体" w:hAnsi="宋体" w:cs="宋体"/>
                <w:sz w:val="24"/>
              </w:rPr>
              <w:t>产生时间</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sz w:val="24"/>
                <w:szCs w:val="22"/>
              </w:rPr>
            </w:pPr>
            <w:r>
              <w:rPr>
                <w:rFonts w:hint="eastAsia" w:ascii="宋体" w:hAnsi="宋体" w:cs="宋体"/>
                <w:sz w:val="24"/>
              </w:rPr>
              <w:t>物业服务企业名称</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sz w:val="24"/>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sz w:val="24"/>
                <w:szCs w:val="22"/>
              </w:rPr>
            </w:pPr>
            <w:r>
              <w:rPr>
                <w:rFonts w:hint="eastAsia" w:ascii="宋体" w:hAnsi="宋体" w:cs="宋体"/>
                <w:sz w:val="24"/>
              </w:rPr>
              <w:t>法定代表人</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sz w:val="24"/>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eastAsia="仿宋_GB2312" w:cs="宋体"/>
                <w:sz w:val="24"/>
                <w:szCs w:val="22"/>
              </w:rPr>
            </w:pPr>
            <w:r>
              <w:rPr>
                <w:rFonts w:hint="eastAsia" w:ascii="宋体" w:hAnsi="宋体" w:cs="宋体"/>
                <w:sz w:val="24"/>
              </w:rPr>
              <w:t>联系电话</w:t>
            </w:r>
          </w:p>
        </w:tc>
        <w:tc>
          <w:tcPr>
            <w:tcW w:w="1229" w:type="dxa"/>
            <w:tcBorders>
              <w:top w:val="single" w:color="auto" w:sz="4" w:space="0"/>
              <w:left w:val="single" w:color="auto" w:sz="4" w:space="0"/>
              <w:bottom w:val="single" w:color="auto" w:sz="4" w:space="0"/>
              <w:right w:val="single" w:color="auto" w:sz="4" w:space="0"/>
            </w:tcBorders>
            <w:vAlign w:val="center"/>
          </w:tcPr>
          <w:p>
            <w:pPr>
              <w:rPr>
                <w:rFonts w:asci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r>
              <w:rPr>
                <w:rFonts w:hint="eastAsia" w:ascii="宋体" w:hAnsi="宋体" w:cs="宋体"/>
                <w:sz w:val="24"/>
              </w:rPr>
              <w:t>项目经理</w:t>
            </w:r>
          </w:p>
          <w:p>
            <w:pPr>
              <w:jc w:val="center"/>
              <w:rPr>
                <w:rFonts w:ascii="宋体" w:eastAsia="仿宋_GB2312" w:cs="宋体"/>
                <w:sz w:val="24"/>
                <w:szCs w:val="22"/>
              </w:rPr>
            </w:pPr>
            <w:r>
              <w:rPr>
                <w:rFonts w:hint="eastAsia" w:ascii="宋体" w:hAnsi="宋体" w:cs="宋体"/>
                <w:sz w:val="24"/>
              </w:rPr>
              <w:t>姓名</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sz w:val="24"/>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 w:val="24"/>
                <w:szCs w:val="22"/>
              </w:rPr>
            </w:pPr>
            <w:r>
              <w:rPr>
                <w:rFonts w:hint="eastAsia" w:ascii="宋体" w:hAnsi="宋体" w:cs="宋体"/>
                <w:sz w:val="24"/>
              </w:rPr>
              <w:t>物业专业</w:t>
            </w:r>
          </w:p>
          <w:p>
            <w:pPr>
              <w:jc w:val="center"/>
              <w:rPr>
                <w:rFonts w:ascii="宋体" w:eastAsia="仿宋_GB2312" w:cs="宋体"/>
                <w:sz w:val="24"/>
                <w:szCs w:val="22"/>
              </w:rPr>
            </w:pPr>
            <w:r>
              <w:rPr>
                <w:rFonts w:hint="eastAsia" w:ascii="宋体" w:hAnsi="宋体" w:cs="宋体"/>
                <w:sz w:val="24"/>
              </w:rPr>
              <w:t>证书编号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sz w:val="24"/>
                <w:szCs w:val="22"/>
              </w:rPr>
            </w:pPr>
          </w:p>
        </w:tc>
        <w:tc>
          <w:tcPr>
            <w:tcW w:w="1440" w:type="dxa"/>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eastAsia="仿宋_GB2312" w:cs="宋体"/>
                <w:sz w:val="24"/>
                <w:szCs w:val="22"/>
              </w:rPr>
            </w:pPr>
            <w:r>
              <w:rPr>
                <w:rFonts w:hint="eastAsia" w:ascii="宋体" w:hAnsi="宋体" w:cs="宋体"/>
                <w:sz w:val="24"/>
              </w:rPr>
              <w:t>联系电话</w:t>
            </w:r>
          </w:p>
        </w:tc>
        <w:tc>
          <w:tcPr>
            <w:tcW w:w="1229" w:type="dxa"/>
            <w:tcBorders>
              <w:top w:val="single" w:color="auto" w:sz="4" w:space="0"/>
              <w:left w:val="single" w:color="auto" w:sz="4" w:space="0"/>
              <w:bottom w:val="single" w:color="auto" w:sz="4" w:space="0"/>
              <w:right w:val="single" w:color="auto" w:sz="4" w:space="0"/>
            </w:tcBorders>
            <w:vAlign w:val="center"/>
          </w:tcPr>
          <w:p>
            <w:pPr>
              <w:rPr>
                <w:rFonts w:asci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6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sz w:val="24"/>
                <w:szCs w:val="22"/>
              </w:rPr>
            </w:pPr>
            <w:r>
              <w:rPr>
                <w:rFonts w:hint="eastAsia" w:ascii="宋体" w:hAnsi="宋体" w:cs="宋体"/>
                <w:color w:val="000000"/>
                <w:kern w:val="0"/>
                <w:sz w:val="24"/>
              </w:rPr>
              <w:t>获辖市（区）</w:t>
            </w:r>
            <w:r>
              <w:rPr>
                <w:rFonts w:hint="eastAsia" w:ascii="宋体" w:hAnsi="宋体" w:cs="宋体"/>
                <w:color w:val="000000"/>
                <w:sz w:val="24"/>
              </w:rPr>
              <w:t>荣誉</w:t>
            </w:r>
            <w:r>
              <w:rPr>
                <w:rFonts w:hint="eastAsia" w:ascii="宋体" w:hAnsi="宋体" w:cs="宋体"/>
                <w:color w:val="000000"/>
                <w:kern w:val="0"/>
                <w:sz w:val="24"/>
              </w:rPr>
              <w:t>称号名称与时间</w:t>
            </w:r>
          </w:p>
        </w:tc>
        <w:tc>
          <w:tcPr>
            <w:tcW w:w="5369" w:type="dxa"/>
            <w:gridSpan w:val="4"/>
            <w:tcBorders>
              <w:top w:val="single" w:color="auto" w:sz="4" w:space="0"/>
              <w:left w:val="single" w:color="auto" w:sz="4" w:space="0"/>
              <w:bottom w:val="single" w:color="auto" w:sz="4" w:space="0"/>
              <w:right w:val="single" w:color="auto" w:sz="4" w:space="0"/>
            </w:tcBorders>
            <w:vAlign w:val="center"/>
          </w:tcPr>
          <w:p>
            <w:pPr>
              <w:rPr>
                <w:rFonts w:ascii="宋体" w:eastAsia="仿宋_GB2312"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969"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r>
              <w:rPr>
                <w:rFonts w:hint="eastAsia" w:ascii="宋体" w:hAnsi="宋体" w:cs="宋体"/>
                <w:color w:val="000000"/>
                <w:sz w:val="24"/>
              </w:rPr>
              <w:t>物业服务单位自检概述：</w:t>
            </w: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2"/>
              </w:rPr>
            </w:pPr>
            <w:r>
              <w:rPr>
                <w:rFonts w:hint="eastAsia" w:ascii="宋体" w:hAnsi="宋体" w:cs="宋体"/>
                <w:color w:val="000000"/>
                <w:sz w:val="24"/>
              </w:rPr>
              <w:t>预评总分</w:t>
            </w:r>
          </w:p>
        </w:tc>
        <w:tc>
          <w:tcPr>
            <w:tcW w:w="7044"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4"/>
                <w:szCs w:val="22"/>
              </w:rPr>
            </w:pPr>
            <w:r>
              <w:rPr>
                <w:rFonts w:hint="eastAsia" w:ascii="宋体" w:hAnsi="宋体" w:cs="宋体"/>
                <w:color w:val="000000"/>
                <w:sz w:val="24"/>
                <w:szCs w:val="22"/>
              </w:rPr>
              <w:t xml:space="preserve"> </w:t>
            </w:r>
          </w:p>
          <w:p>
            <w:pPr>
              <w:rPr>
                <w:rFonts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rPr>
        <w:tc>
          <w:tcPr>
            <w:tcW w:w="19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2"/>
              </w:rPr>
            </w:pPr>
            <w:r>
              <w:rPr>
                <w:rFonts w:hint="eastAsia" w:ascii="宋体" w:hAnsi="宋体" w:cs="宋体"/>
                <w:color w:val="000000"/>
                <w:sz w:val="24"/>
              </w:rPr>
              <w:t>辖市、区行政主管部门推荐意见</w:t>
            </w:r>
          </w:p>
        </w:tc>
        <w:tc>
          <w:tcPr>
            <w:tcW w:w="704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szCs w:val="22"/>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r>
              <w:rPr>
                <w:rFonts w:hint="eastAsia" w:ascii="宋体" w:hAnsi="宋体" w:cs="宋体"/>
                <w:color w:val="000000"/>
                <w:sz w:val="24"/>
              </w:rPr>
              <w:t xml:space="preserve">                                   年     月   日(签章）</w:t>
            </w:r>
          </w:p>
          <w:p>
            <w:pPr>
              <w:rPr>
                <w:rFonts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2"/>
              </w:rPr>
            </w:pPr>
            <w:r>
              <w:rPr>
                <w:rFonts w:hint="eastAsia" w:ascii="宋体" w:hAnsi="宋体" w:cs="宋体"/>
                <w:color w:val="000000"/>
                <w:sz w:val="24"/>
              </w:rPr>
              <w:t>市</w:t>
            </w:r>
            <w:r>
              <w:rPr>
                <w:rFonts w:hint="eastAsia" w:ascii="宋体" w:hAnsi="宋体" w:cs="宋体"/>
                <w:color w:val="000000"/>
                <w:sz w:val="24"/>
                <w:lang w:eastAsia="zh-CN"/>
              </w:rPr>
              <w:t>考评</w:t>
            </w:r>
            <w:r>
              <w:rPr>
                <w:rFonts w:hint="eastAsia" w:ascii="宋体" w:hAnsi="宋体" w:cs="宋体"/>
                <w:color w:val="000000"/>
                <w:sz w:val="24"/>
              </w:rPr>
              <w:t>总分</w:t>
            </w:r>
          </w:p>
        </w:tc>
        <w:tc>
          <w:tcPr>
            <w:tcW w:w="704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6" w:hRule="atLeast"/>
        </w:trPr>
        <w:tc>
          <w:tcPr>
            <w:tcW w:w="19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2"/>
              </w:rPr>
            </w:pPr>
            <w:r>
              <w:rPr>
                <w:rFonts w:hint="eastAsia" w:ascii="宋体" w:hAnsi="宋体" w:cs="宋体"/>
                <w:color w:val="000000"/>
                <w:sz w:val="24"/>
              </w:rPr>
              <w:t>市</w:t>
            </w:r>
            <w:r>
              <w:rPr>
                <w:rFonts w:hint="eastAsia" w:ascii="宋体" w:hAnsi="宋体" w:cs="宋体"/>
                <w:color w:val="000000"/>
                <w:sz w:val="24"/>
                <w:lang w:eastAsia="zh-CN"/>
              </w:rPr>
              <w:t>考评</w:t>
            </w:r>
            <w:r>
              <w:rPr>
                <w:rFonts w:hint="eastAsia" w:ascii="宋体" w:hAnsi="宋体" w:cs="宋体"/>
                <w:color w:val="000000"/>
                <w:sz w:val="24"/>
              </w:rPr>
              <w:t>意见</w:t>
            </w:r>
          </w:p>
        </w:tc>
        <w:tc>
          <w:tcPr>
            <w:tcW w:w="7044"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szCs w:val="22"/>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ind w:firstLine="3840" w:firstLineChars="1600"/>
              <w:rPr>
                <w:rFonts w:hint="eastAsia" w:ascii="宋体" w:hAnsi="宋体" w:cs="宋体"/>
                <w:color w:val="000000"/>
                <w:sz w:val="24"/>
              </w:rPr>
            </w:pPr>
          </w:p>
          <w:p>
            <w:pPr>
              <w:ind w:firstLine="3840" w:firstLineChars="1600"/>
              <w:rPr>
                <w:rFonts w:hint="eastAsia" w:ascii="宋体" w:hAnsi="宋体" w:cs="宋体"/>
                <w:color w:val="000000"/>
                <w:sz w:val="24"/>
              </w:rPr>
            </w:pPr>
          </w:p>
          <w:p>
            <w:pPr>
              <w:ind w:firstLine="3840" w:firstLineChars="1600"/>
              <w:rPr>
                <w:rFonts w:hint="eastAsia" w:ascii="宋体" w:hAnsi="宋体" w:cs="宋体"/>
                <w:color w:val="000000"/>
                <w:sz w:val="24"/>
              </w:rPr>
            </w:pPr>
          </w:p>
          <w:p>
            <w:pPr>
              <w:rPr>
                <w:rFonts w:ascii="宋体" w:hAnsi="宋体" w:cs="宋体"/>
                <w:color w:val="000000"/>
                <w:sz w:val="24"/>
              </w:rPr>
            </w:pPr>
            <w:r>
              <w:rPr>
                <w:rFonts w:hint="eastAsia" w:ascii="宋体" w:hAnsi="宋体" w:cs="宋体"/>
                <w:color w:val="000000"/>
                <w:sz w:val="24"/>
                <w:lang w:eastAsia="zh-CN"/>
              </w:rPr>
              <w:t>考评</w:t>
            </w:r>
            <w:r>
              <w:rPr>
                <w:rFonts w:hint="eastAsia" w:ascii="宋体" w:hAnsi="宋体" w:cs="宋体"/>
                <w:color w:val="000000"/>
                <w:sz w:val="24"/>
              </w:rPr>
              <w:t>专家（签名）：</w:t>
            </w:r>
          </w:p>
          <w:p>
            <w:pPr>
              <w:ind w:firstLine="3600" w:firstLineChars="1500"/>
              <w:rPr>
                <w:rFonts w:ascii="宋体" w:hAnsi="宋体" w:cs="宋体"/>
                <w:color w:val="000000"/>
                <w:sz w:val="24"/>
              </w:rPr>
            </w:pPr>
          </w:p>
          <w:p>
            <w:pPr>
              <w:rPr>
                <w:rFonts w:hint="eastAsia" w:ascii="宋体" w:hAnsi="宋体" w:cs="宋体"/>
                <w:color w:val="000000"/>
                <w:sz w:val="24"/>
              </w:rPr>
            </w:pPr>
            <w:r>
              <w:rPr>
                <w:rFonts w:hint="eastAsia" w:ascii="宋体" w:hAnsi="宋体" w:cs="宋体"/>
                <w:color w:val="000000"/>
                <w:sz w:val="24"/>
              </w:rPr>
              <w:t xml:space="preserve">                              </w:t>
            </w:r>
          </w:p>
          <w:p>
            <w:pPr>
              <w:rPr>
                <w:rFonts w:hint="eastAsia" w:ascii="宋体" w:hAnsi="宋体" w:cs="宋体"/>
                <w:color w:val="000000"/>
                <w:sz w:val="24"/>
              </w:rPr>
            </w:pPr>
          </w:p>
          <w:p>
            <w:pPr>
              <w:ind w:firstLine="3720" w:firstLineChars="1550"/>
              <w:rPr>
                <w:rFonts w:hint="eastAsia" w:ascii="宋体" w:hAnsi="宋体" w:cs="宋体"/>
                <w:color w:val="000000"/>
                <w:sz w:val="24"/>
              </w:rPr>
            </w:pPr>
          </w:p>
          <w:p>
            <w:pPr>
              <w:ind w:firstLine="3720" w:firstLineChars="1550"/>
              <w:rPr>
                <w:rFonts w:ascii="宋体" w:hAnsi="宋体" w:cs="宋体"/>
                <w:color w:val="000000"/>
                <w:sz w:val="24"/>
              </w:rPr>
            </w:pPr>
            <w:r>
              <w:rPr>
                <w:rFonts w:hint="eastAsia" w:ascii="宋体" w:hAnsi="宋体" w:cs="宋体"/>
                <w:color w:val="000000"/>
                <w:sz w:val="24"/>
              </w:rPr>
              <w:t>年     月   日(签章）</w:t>
            </w:r>
          </w:p>
          <w:p>
            <w:pPr>
              <w:rPr>
                <w:rFonts w:ascii="宋体" w:hAnsi="宋体" w:cs="宋体"/>
                <w:color w:val="000000"/>
                <w:sz w:val="24"/>
              </w:rPr>
            </w:pPr>
          </w:p>
        </w:tc>
      </w:tr>
    </w:tbl>
    <w:p>
      <w:pPr>
        <w:pStyle w:val="7"/>
        <w:widowControl/>
        <w:shd w:val="clear" w:color="auto" w:fill="FFFFFF"/>
        <w:jc w:val="center"/>
        <w:rPr>
          <w:rFonts w:hint="eastAsia" w:ascii="仿宋_GB2312" w:hAnsi="宋体" w:eastAsia="仿宋_GB2312" w:cs="宋体"/>
          <w:b/>
          <w:bCs/>
          <w:color w:val="000000"/>
          <w:sz w:val="32"/>
          <w:szCs w:val="32"/>
        </w:rPr>
      </w:pPr>
      <w:bookmarkStart w:id="0" w:name="_GoBack"/>
      <w:bookmarkEnd w:id="0"/>
    </w:p>
    <w:p>
      <w:pPr>
        <w:pStyle w:val="7"/>
        <w:widowControl/>
        <w:shd w:val="clear" w:color="auto" w:fill="FFFFFF"/>
        <w:jc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《常州市优秀物业管理项目</w:t>
      </w:r>
      <w:r>
        <w:rPr>
          <w:rFonts w:hint="eastAsia" w:ascii="仿宋_GB2312" w:hAnsi="宋体" w:eastAsia="仿宋_GB2312" w:cs="宋体"/>
          <w:b/>
          <w:bCs/>
          <w:color w:val="000000"/>
          <w:sz w:val="32"/>
          <w:szCs w:val="32"/>
          <w:lang w:eastAsia="zh-CN"/>
        </w:rPr>
        <w:t>考评</w:t>
      </w:r>
      <w:r>
        <w:rPr>
          <w:rFonts w:hint="eastAsia" w:ascii="仿宋_GB2312" w:hAnsi="宋体" w:eastAsia="仿宋_GB2312" w:cs="宋体"/>
          <w:b/>
          <w:bCs/>
          <w:color w:val="000000"/>
          <w:sz w:val="32"/>
          <w:szCs w:val="32"/>
        </w:rPr>
        <w:t>标准》</w:t>
      </w:r>
    </w:p>
    <w:p>
      <w:pPr>
        <w:pStyle w:val="7"/>
        <w:widowControl/>
        <w:shd w:val="clear" w:color="auto" w:fill="FFFFFF"/>
        <w:jc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（公共物业）</w:t>
      </w:r>
    </w:p>
    <w:tbl>
      <w:tblPr>
        <w:tblStyle w:val="8"/>
        <w:tblW w:w="87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3641"/>
        <w:gridCol w:w="873"/>
        <w:gridCol w:w="941"/>
        <w:gridCol w:w="763"/>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698" w:type="dxa"/>
            <w:vAlign w:val="center"/>
          </w:tcPr>
          <w:p>
            <w:pPr>
              <w:widowControl/>
              <w:jc w:val="center"/>
              <w:rPr>
                <w:rFonts w:ascii="宋体" w:eastAsia="仿宋_GB2312" w:cs="宋体"/>
                <w:b/>
                <w:bCs/>
                <w:color w:val="000000"/>
                <w:kern w:val="0"/>
                <w:szCs w:val="21"/>
              </w:rPr>
            </w:pPr>
            <w:r>
              <w:rPr>
                <w:rFonts w:hint="eastAsia" w:ascii="宋体" w:hAnsi="宋体" w:eastAsia="仿宋_GB2312" w:cs="宋体"/>
                <w:b/>
                <w:bCs/>
                <w:color w:val="000000"/>
                <w:kern w:val="0"/>
                <w:szCs w:val="21"/>
              </w:rPr>
              <w:t>考评项目</w:t>
            </w:r>
          </w:p>
        </w:tc>
        <w:tc>
          <w:tcPr>
            <w:tcW w:w="3641" w:type="dxa"/>
            <w:vAlign w:val="center"/>
          </w:tcPr>
          <w:p>
            <w:pPr>
              <w:widowControl/>
              <w:jc w:val="center"/>
              <w:rPr>
                <w:rFonts w:ascii="宋体" w:eastAsia="仿宋_GB2312" w:cs="宋体"/>
                <w:b/>
                <w:bCs/>
                <w:color w:val="000000"/>
                <w:kern w:val="0"/>
                <w:szCs w:val="21"/>
              </w:rPr>
            </w:pPr>
            <w:r>
              <w:rPr>
                <w:rFonts w:hint="eastAsia" w:ascii="宋体" w:hAnsi="宋体" w:eastAsia="仿宋_GB2312" w:cs="宋体"/>
                <w:b/>
                <w:bCs/>
                <w:color w:val="000000"/>
                <w:kern w:val="0"/>
                <w:szCs w:val="21"/>
              </w:rPr>
              <w:t>标准内容</w:t>
            </w:r>
          </w:p>
        </w:tc>
        <w:tc>
          <w:tcPr>
            <w:tcW w:w="873" w:type="dxa"/>
            <w:vAlign w:val="center"/>
          </w:tcPr>
          <w:p>
            <w:pPr>
              <w:widowControl/>
              <w:jc w:val="center"/>
              <w:rPr>
                <w:rFonts w:ascii="宋体" w:eastAsia="仿宋_GB2312" w:cs="宋体"/>
                <w:b/>
                <w:bCs/>
                <w:color w:val="000000"/>
                <w:kern w:val="0"/>
                <w:szCs w:val="21"/>
              </w:rPr>
            </w:pPr>
            <w:r>
              <w:rPr>
                <w:rFonts w:hint="eastAsia" w:ascii="宋体" w:hAnsi="宋体" w:eastAsia="仿宋_GB2312" w:cs="宋体"/>
                <w:b/>
                <w:bCs/>
                <w:color w:val="000000"/>
                <w:kern w:val="0"/>
                <w:szCs w:val="21"/>
              </w:rPr>
              <w:t>规定</w:t>
            </w:r>
          </w:p>
          <w:p>
            <w:pPr>
              <w:widowControl/>
              <w:jc w:val="center"/>
              <w:rPr>
                <w:rFonts w:ascii="宋体" w:eastAsia="仿宋_GB2312" w:cs="宋体"/>
                <w:b/>
                <w:bCs/>
                <w:color w:val="000000"/>
                <w:kern w:val="0"/>
                <w:szCs w:val="21"/>
              </w:rPr>
            </w:pPr>
            <w:r>
              <w:rPr>
                <w:rFonts w:hint="eastAsia" w:ascii="宋体" w:hAnsi="宋体" w:eastAsia="仿宋_GB2312" w:cs="宋体"/>
                <w:b/>
                <w:bCs/>
                <w:color w:val="000000"/>
                <w:kern w:val="0"/>
                <w:szCs w:val="21"/>
              </w:rPr>
              <w:t>分值</w:t>
            </w:r>
          </w:p>
        </w:tc>
        <w:tc>
          <w:tcPr>
            <w:tcW w:w="941" w:type="dxa"/>
            <w:vAlign w:val="center"/>
          </w:tcPr>
          <w:p>
            <w:pPr>
              <w:widowControl/>
              <w:jc w:val="center"/>
              <w:rPr>
                <w:rFonts w:ascii="宋体" w:eastAsia="仿宋_GB2312" w:cs="宋体"/>
                <w:b/>
                <w:bCs/>
                <w:color w:val="000000"/>
                <w:kern w:val="0"/>
                <w:szCs w:val="21"/>
              </w:rPr>
            </w:pPr>
            <w:r>
              <w:rPr>
                <w:rFonts w:hint="eastAsia" w:ascii="宋体" w:hAnsi="宋体" w:eastAsia="仿宋_GB2312" w:cs="宋体"/>
                <w:b/>
                <w:bCs/>
                <w:color w:val="000000"/>
                <w:kern w:val="0"/>
                <w:szCs w:val="21"/>
              </w:rPr>
              <w:t>评分</w:t>
            </w:r>
          </w:p>
          <w:p>
            <w:pPr>
              <w:widowControl/>
              <w:jc w:val="center"/>
              <w:rPr>
                <w:rFonts w:ascii="宋体" w:eastAsia="仿宋_GB2312" w:cs="宋体"/>
                <w:b/>
                <w:bCs/>
                <w:color w:val="000000"/>
                <w:kern w:val="0"/>
                <w:szCs w:val="21"/>
              </w:rPr>
            </w:pPr>
            <w:r>
              <w:rPr>
                <w:rFonts w:hint="eastAsia" w:ascii="宋体" w:hAnsi="宋体" w:eastAsia="仿宋_GB2312" w:cs="宋体"/>
                <w:b/>
                <w:bCs/>
                <w:color w:val="000000"/>
                <w:kern w:val="0"/>
                <w:szCs w:val="21"/>
              </w:rPr>
              <w:t>标准</w:t>
            </w:r>
          </w:p>
        </w:tc>
        <w:tc>
          <w:tcPr>
            <w:tcW w:w="763" w:type="dxa"/>
            <w:vAlign w:val="center"/>
          </w:tcPr>
          <w:p>
            <w:pPr>
              <w:widowControl/>
              <w:jc w:val="center"/>
              <w:rPr>
                <w:rFonts w:ascii="宋体" w:eastAsia="仿宋_GB2312" w:cs="宋体"/>
                <w:b/>
                <w:bCs/>
                <w:color w:val="000000"/>
                <w:kern w:val="0"/>
                <w:szCs w:val="21"/>
              </w:rPr>
            </w:pPr>
            <w:r>
              <w:rPr>
                <w:rFonts w:hint="eastAsia" w:ascii="宋体" w:hAnsi="宋体" w:eastAsia="仿宋_GB2312" w:cs="宋体"/>
                <w:b/>
                <w:bCs/>
                <w:color w:val="000000"/>
                <w:kern w:val="0"/>
                <w:szCs w:val="21"/>
              </w:rPr>
              <w:t>区评</w:t>
            </w:r>
          </w:p>
          <w:p>
            <w:pPr>
              <w:widowControl/>
              <w:jc w:val="center"/>
              <w:rPr>
                <w:rFonts w:ascii="宋体" w:eastAsia="仿宋_GB2312" w:cs="宋体"/>
                <w:b/>
                <w:bCs/>
                <w:color w:val="000000"/>
                <w:kern w:val="0"/>
                <w:szCs w:val="21"/>
              </w:rPr>
            </w:pPr>
            <w:r>
              <w:rPr>
                <w:rFonts w:hint="eastAsia" w:ascii="宋体" w:hAnsi="宋体" w:eastAsia="仿宋_GB2312" w:cs="宋体"/>
                <w:b/>
                <w:bCs/>
                <w:color w:val="000000"/>
                <w:kern w:val="0"/>
                <w:szCs w:val="21"/>
              </w:rPr>
              <w:t>分值</w:t>
            </w:r>
          </w:p>
        </w:tc>
        <w:tc>
          <w:tcPr>
            <w:tcW w:w="818" w:type="dxa"/>
            <w:vAlign w:val="center"/>
          </w:tcPr>
          <w:p>
            <w:pPr>
              <w:widowControl/>
              <w:jc w:val="center"/>
              <w:rPr>
                <w:rFonts w:ascii="宋体" w:eastAsia="仿宋_GB2312" w:cs="宋体"/>
                <w:b/>
                <w:bCs/>
                <w:color w:val="000000"/>
                <w:kern w:val="0"/>
                <w:szCs w:val="21"/>
              </w:rPr>
            </w:pPr>
            <w:r>
              <w:rPr>
                <w:rFonts w:hint="eastAsia" w:ascii="宋体" w:hAnsi="宋体" w:eastAsia="仿宋_GB2312" w:cs="宋体"/>
                <w:b/>
                <w:bCs/>
                <w:color w:val="000000"/>
                <w:kern w:val="0"/>
                <w:szCs w:val="21"/>
              </w:rPr>
              <w:t>市评</w:t>
            </w:r>
          </w:p>
          <w:p>
            <w:pPr>
              <w:jc w:val="center"/>
              <w:rPr>
                <w:rFonts w:ascii="宋体" w:eastAsia="仿宋_GB2312" w:cs="宋体"/>
                <w:b/>
                <w:bCs/>
                <w:color w:val="000000"/>
                <w:kern w:val="0"/>
                <w:szCs w:val="21"/>
              </w:rPr>
            </w:pPr>
            <w:r>
              <w:rPr>
                <w:rFonts w:hint="eastAsia" w:ascii="宋体" w:hAnsi="宋体" w:eastAsia="仿宋_GB2312" w:cs="宋体"/>
                <w:b/>
                <w:bCs/>
                <w:color w:val="000000"/>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339" w:type="dxa"/>
            <w:gridSpan w:val="2"/>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一、基础管理服务</w:t>
            </w:r>
          </w:p>
        </w:tc>
        <w:tc>
          <w:tcPr>
            <w:tcW w:w="873" w:type="dxa"/>
            <w:vAlign w:val="center"/>
          </w:tcPr>
          <w:p>
            <w:pPr>
              <w:widowControl/>
              <w:ind w:firstLine="105" w:firstLineChars="50"/>
              <w:rPr>
                <w:rFonts w:ascii="宋体" w:hAnsi="宋体" w:eastAsia="仿宋_GB2312" w:cs="宋体"/>
                <w:color w:val="000000"/>
                <w:kern w:val="0"/>
                <w:szCs w:val="21"/>
              </w:rPr>
            </w:pPr>
            <w:r>
              <w:rPr>
                <w:rFonts w:hint="eastAsia" w:ascii="宋体" w:hAnsi="宋体" w:eastAsia="仿宋_GB2312" w:cs="宋体"/>
                <w:color w:val="000000"/>
                <w:kern w:val="0"/>
                <w:szCs w:val="21"/>
              </w:rPr>
              <w:t>22</w:t>
            </w:r>
          </w:p>
        </w:tc>
        <w:tc>
          <w:tcPr>
            <w:tcW w:w="941" w:type="dxa"/>
            <w:vAlign w:val="center"/>
          </w:tcPr>
          <w:p>
            <w:pPr>
              <w:widowControl/>
              <w:rPr>
                <w:rFonts w:ascii="宋体" w:hAnsi="宋体" w:eastAsia="仿宋_GB2312" w:cs="宋体"/>
                <w:color w:val="000000"/>
                <w:kern w:val="0"/>
                <w:szCs w:val="21"/>
              </w:rPr>
            </w:pPr>
          </w:p>
        </w:tc>
        <w:tc>
          <w:tcPr>
            <w:tcW w:w="763" w:type="dxa"/>
            <w:vAlign w:val="center"/>
          </w:tcPr>
          <w:p>
            <w:pPr>
              <w:widowControl/>
              <w:rPr>
                <w:rFonts w:ascii="宋体" w:hAnsi="宋体" w:eastAsia="仿宋_GB2312" w:cs="宋体"/>
                <w:color w:val="000000"/>
                <w:kern w:val="0"/>
                <w:szCs w:val="21"/>
              </w:rPr>
            </w:pPr>
          </w:p>
        </w:tc>
        <w:tc>
          <w:tcPr>
            <w:tcW w:w="818" w:type="dxa"/>
            <w:vAlign w:val="center"/>
          </w:tcPr>
          <w:p>
            <w:pPr>
              <w:widowControl/>
              <w:rPr>
                <w:rFonts w:ascii="宋体"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698" w:type="dxa"/>
            <w:vMerge w:val="restart"/>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物业项目资料</w:t>
            </w:r>
          </w:p>
        </w:tc>
        <w:tc>
          <w:tcPr>
            <w:tcW w:w="3641" w:type="dxa"/>
            <w:vAlign w:val="center"/>
          </w:tcPr>
          <w:p>
            <w:pPr>
              <w:widowControl/>
              <w:spacing w:line="340" w:lineRule="exact"/>
              <w:rPr>
                <w:rFonts w:ascii="宋体" w:eastAsia="仿宋_GB2312" w:cs="宋体"/>
                <w:color w:val="000000"/>
                <w:kern w:val="0"/>
                <w:szCs w:val="21"/>
              </w:rPr>
            </w:pPr>
            <w:r>
              <w:rPr>
                <w:rFonts w:hint="eastAsia" w:ascii="宋体" w:hAnsi="宋体" w:eastAsia="仿宋_GB2312" w:cs="宋体"/>
                <w:color w:val="000000"/>
                <w:kern w:val="0"/>
                <w:szCs w:val="21"/>
              </w:rPr>
              <w:t>1 竣工总平面图，单体建筑、结构、设备竣工图，配套设施、地下管网工程竣工图等竣工验收资料齐全；</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1</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缺一项扣0.2分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40" w:lineRule="exact"/>
              <w:rPr>
                <w:rFonts w:ascii="宋体" w:eastAsia="仿宋_GB2312" w:cs="宋体"/>
                <w:color w:val="000000"/>
                <w:kern w:val="0"/>
                <w:szCs w:val="21"/>
              </w:rPr>
            </w:pPr>
            <w:r>
              <w:rPr>
                <w:rFonts w:hint="eastAsia" w:ascii="宋体" w:hAnsi="宋体" w:eastAsia="仿宋_GB2312" w:cs="宋体"/>
                <w:color w:val="000000"/>
                <w:kern w:val="0"/>
                <w:szCs w:val="21"/>
              </w:rPr>
              <w:t>2 共用设施设备清单及其安装、使用和维护保养等技术资料齐全；</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40" w:lineRule="exact"/>
              <w:rPr>
                <w:rFonts w:ascii="宋体" w:eastAsia="仿宋_GB2312" w:cs="宋体"/>
                <w:color w:val="000000"/>
                <w:kern w:val="0"/>
                <w:szCs w:val="21"/>
              </w:rPr>
            </w:pPr>
            <w:r>
              <w:rPr>
                <w:rFonts w:hint="eastAsia" w:ascii="宋体" w:hAnsi="宋体" w:eastAsia="仿宋_GB2312" w:cs="宋体"/>
                <w:color w:val="000000"/>
                <w:kern w:val="0"/>
                <w:szCs w:val="21"/>
              </w:rPr>
              <w:t>3 供水、供电、供气、供热、通信、有线电视等准许使用文件齐全；</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40" w:lineRule="exact"/>
              <w:rPr>
                <w:rFonts w:ascii="宋体" w:eastAsia="仿宋_GB2312" w:cs="宋体"/>
                <w:color w:val="000000"/>
                <w:kern w:val="0"/>
                <w:szCs w:val="21"/>
              </w:rPr>
            </w:pPr>
            <w:r>
              <w:rPr>
                <w:rFonts w:hint="eastAsia" w:ascii="宋体" w:hAnsi="宋体" w:eastAsia="仿宋_GB2312" w:cs="宋体"/>
                <w:color w:val="000000"/>
                <w:kern w:val="0"/>
                <w:szCs w:val="21"/>
              </w:rPr>
              <w:t>4 物业质量保修文件和物业使用说明文件齐全；</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40" w:lineRule="exact"/>
              <w:rPr>
                <w:rFonts w:ascii="宋体" w:eastAsia="仿宋_GB2312" w:cs="宋体"/>
                <w:color w:val="000000"/>
                <w:kern w:val="0"/>
                <w:szCs w:val="21"/>
              </w:rPr>
            </w:pPr>
            <w:r>
              <w:rPr>
                <w:rFonts w:hint="eastAsia" w:ascii="宋体" w:hAnsi="宋体" w:eastAsia="仿宋_GB2312" w:cs="宋体"/>
                <w:color w:val="000000"/>
                <w:kern w:val="0"/>
                <w:szCs w:val="21"/>
              </w:rPr>
              <w:t>5 物业管理区域划分证明</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98" w:type="dxa"/>
            <w:vMerge w:val="restart"/>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承接查验手续</w:t>
            </w:r>
          </w:p>
        </w:tc>
        <w:tc>
          <w:tcPr>
            <w:tcW w:w="3641" w:type="dxa"/>
            <w:vAlign w:val="center"/>
          </w:tcPr>
          <w:p>
            <w:pPr>
              <w:widowControl/>
              <w:spacing w:line="340" w:lineRule="exact"/>
              <w:rPr>
                <w:rFonts w:ascii="宋体" w:eastAsia="仿宋_GB2312" w:cs="宋体"/>
                <w:color w:val="000000"/>
                <w:kern w:val="0"/>
                <w:szCs w:val="21"/>
              </w:rPr>
            </w:pPr>
            <w:r>
              <w:rPr>
                <w:rFonts w:hint="eastAsia" w:ascii="宋体" w:hAnsi="宋体" w:eastAsia="仿宋_GB2312" w:cs="宋体"/>
                <w:color w:val="000000"/>
                <w:kern w:val="0"/>
                <w:szCs w:val="21"/>
              </w:rPr>
              <w:t>1 有共用部位、共用设施设备查验记录；</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2</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缺一项扣0.5分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40" w:lineRule="exact"/>
              <w:rPr>
                <w:rFonts w:ascii="宋体" w:eastAsia="仿宋_GB2312" w:cs="宋体"/>
                <w:color w:val="000000"/>
                <w:kern w:val="0"/>
                <w:szCs w:val="21"/>
              </w:rPr>
            </w:pPr>
            <w:r>
              <w:rPr>
                <w:rFonts w:hint="eastAsia" w:ascii="宋体" w:hAnsi="宋体" w:eastAsia="仿宋_GB2312" w:cs="宋体"/>
                <w:color w:val="000000"/>
                <w:kern w:val="0"/>
                <w:szCs w:val="21"/>
              </w:rPr>
              <w:t>2共用部位、共用设施设备交接记录；</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40" w:lineRule="exact"/>
              <w:rPr>
                <w:rFonts w:ascii="宋体" w:eastAsia="仿宋_GB2312" w:cs="宋体"/>
                <w:color w:val="000000"/>
                <w:kern w:val="0"/>
                <w:szCs w:val="21"/>
              </w:rPr>
            </w:pPr>
            <w:r>
              <w:rPr>
                <w:rFonts w:hint="eastAsia" w:ascii="宋体" w:hAnsi="宋体" w:eastAsia="仿宋_GB2312" w:cs="宋体"/>
                <w:color w:val="000000"/>
                <w:kern w:val="0"/>
                <w:szCs w:val="21"/>
              </w:rPr>
              <w:t>3签订物业承接查验协议</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40" w:lineRule="exact"/>
              <w:rPr>
                <w:rFonts w:ascii="宋体" w:eastAsia="仿宋_GB2312" w:cs="宋体"/>
                <w:color w:val="000000"/>
                <w:kern w:val="0"/>
                <w:szCs w:val="21"/>
              </w:rPr>
            </w:pPr>
            <w:r>
              <w:rPr>
                <w:rFonts w:hint="eastAsia" w:ascii="宋体" w:hAnsi="宋体" w:eastAsia="仿宋_GB2312" w:cs="宋体"/>
                <w:color w:val="000000"/>
                <w:kern w:val="0"/>
                <w:szCs w:val="21"/>
              </w:rPr>
              <w:t>4有物业承接查验备案证明。</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698" w:type="dxa"/>
            <w:vMerge w:val="restart"/>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管理规约制度</w:t>
            </w: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1物业为多业主所有的，制定（临时）管理规约和业主大会议事规则；物业为单一业主所有的，制定使用人（租户）管理制度；</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2</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缺一项扣0.5分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2 临时管理规约经业主书面承诺遵守，管理规约和业主大会议事规则经业主大会表决通过；使用人（租户）管理制度符合法律法规的规定以及租赁合同的约定。</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698" w:type="dxa"/>
            <w:vMerge w:val="restart"/>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物业服务合同</w:t>
            </w: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1 物业为多业主所有的，未成立业主大会的，签订前期物业服务合同，成立业主大会的，签订物业服务合同；物业为单一业主所有的，签订物业服务合同，物业出租使用的，租赁合同中应有物业管理的相关约定；</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2</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缺一项扣0.5分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2 （前期）物业服务合同符合法律法规的规定，租赁合同中物业管理的约定应当与物业服务合同一致，无侵害业主及使用人合法权益的内容。</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698" w:type="dxa"/>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维修更新和改造费用保障</w:t>
            </w: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物业为多业主所有的，应当协助并配合业主建立专项维修资金相关制度。</w:t>
            </w:r>
          </w:p>
        </w:tc>
        <w:tc>
          <w:tcPr>
            <w:tcW w:w="873" w:type="dxa"/>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1</w:t>
            </w:r>
          </w:p>
        </w:tc>
        <w:tc>
          <w:tcPr>
            <w:tcW w:w="941" w:type="dxa"/>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不符合扣1分</w:t>
            </w:r>
          </w:p>
        </w:tc>
        <w:tc>
          <w:tcPr>
            <w:tcW w:w="763" w:type="dxa"/>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98" w:type="dxa"/>
            <w:vMerge w:val="restart"/>
            <w:vAlign w:val="center"/>
          </w:tcPr>
          <w:p>
            <w:pPr>
              <w:widowControl/>
              <w:ind w:left="210" w:hanging="210" w:hangingChars="100"/>
              <w:jc w:val="center"/>
              <w:rPr>
                <w:rFonts w:ascii="宋体" w:eastAsia="仿宋_GB2312" w:cs="宋体"/>
                <w:color w:val="000000"/>
                <w:kern w:val="0"/>
                <w:szCs w:val="21"/>
              </w:rPr>
            </w:pPr>
            <w:r>
              <w:rPr>
                <w:rFonts w:hint="eastAsia" w:ascii="宋体" w:hAnsi="宋体" w:eastAsia="仿宋_GB2312" w:cs="宋体"/>
                <w:color w:val="000000"/>
                <w:kern w:val="0"/>
                <w:szCs w:val="21"/>
              </w:rPr>
              <w:t>管理服务制度</w:t>
            </w: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1 人力资源管理制度；</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2</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缺一项扣0.2分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2 财务管理制度；</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3 合同管理制度；</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4 房屋维修养护管理制度；</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5 设施设备维修养护管理制度；</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6 秩序维护管理制度；</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7 环境清洁管理制度；</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8 园林绿化管理制度；</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9 收费管理制度；</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10 客户关系管理制度</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98" w:type="dxa"/>
            <w:vMerge w:val="restart"/>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档案管理</w:t>
            </w:r>
          </w:p>
        </w:tc>
        <w:tc>
          <w:tcPr>
            <w:tcW w:w="3641" w:type="dxa"/>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1 房屋设施设备日常维修养护档案实现动态监管；</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1</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一项不符合扣0.2分</w:t>
            </w:r>
          </w:p>
        </w:tc>
        <w:tc>
          <w:tcPr>
            <w:tcW w:w="763" w:type="dxa"/>
            <w:vMerge w:val="restart"/>
            <w:vAlign w:val="center"/>
          </w:tcPr>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2 业主信息档案实现动态管理；</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3 档案分类规范，查阅方便；</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4 档案使用登记手续完备；</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5 档案存放环境符合规定条件。</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98"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突发事件应急机制</w:t>
            </w: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1 制定消防、消防、电梯、给排水、供配电等共用设施设备事故应急预案；</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3</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一项不符合扣1分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2 制定自然灾害、公共卫生、治安、交通等方面突发事件的配合性应急预案；</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3 应急预案定期演练，并有相应记录。</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98"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员工培训和企业形象</w:t>
            </w: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1 建立企业员工培训体系，根据不同岗位特点制订并落实员工分类培训计划；</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3</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第1项不符合扣1分，第2、3、4、5项不符合各扣0.5分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2 专业岗位操作人员按规定持有专业岗位证书（包括消防监控人员、电梯维修人员、高低压电工等）；</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98" w:type="dxa"/>
            <w:vMerge w:val="continue"/>
            <w:vAlign w:val="center"/>
          </w:tcPr>
          <w:p>
            <w:pPr>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3 不同岗位服务人员分类统一着装，佩戴工作标志；</w:t>
            </w:r>
          </w:p>
        </w:tc>
        <w:tc>
          <w:tcPr>
            <w:tcW w:w="873" w:type="dxa"/>
            <w:vMerge w:val="continue"/>
            <w:vAlign w:val="center"/>
          </w:tcPr>
          <w:p>
            <w:pPr>
              <w:jc w:val="left"/>
              <w:rPr>
                <w:rFonts w:ascii="宋体" w:eastAsia="仿宋_GB2312" w:cs="宋体"/>
                <w:color w:val="000000"/>
                <w:kern w:val="0"/>
                <w:szCs w:val="21"/>
              </w:rPr>
            </w:pPr>
          </w:p>
        </w:tc>
        <w:tc>
          <w:tcPr>
            <w:tcW w:w="941" w:type="dxa"/>
            <w:vMerge w:val="continue"/>
            <w:vAlign w:val="center"/>
          </w:tcPr>
          <w:p>
            <w:pPr>
              <w:rPr>
                <w:rFonts w:ascii="宋体" w:eastAsia="仿宋_GB2312" w:cs="宋体"/>
                <w:color w:val="000000"/>
                <w:kern w:val="0"/>
                <w:szCs w:val="21"/>
              </w:rPr>
            </w:pPr>
          </w:p>
        </w:tc>
        <w:tc>
          <w:tcPr>
            <w:tcW w:w="763" w:type="dxa"/>
            <w:vMerge w:val="continue"/>
            <w:vAlign w:val="center"/>
          </w:tcPr>
          <w:p>
            <w:pPr>
              <w:rPr>
                <w:rFonts w:ascii="宋体" w:eastAsia="仿宋_GB2312" w:cs="宋体"/>
                <w:color w:val="000000"/>
                <w:kern w:val="0"/>
                <w:szCs w:val="21"/>
              </w:rPr>
            </w:pPr>
          </w:p>
        </w:tc>
        <w:tc>
          <w:tcPr>
            <w:tcW w:w="818" w:type="dxa"/>
            <w:vMerge w:val="continue"/>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4 服务人员态度热情耐心，举止文明礼貌，解答问题及时准确；</w:t>
            </w:r>
          </w:p>
        </w:tc>
        <w:tc>
          <w:tcPr>
            <w:tcW w:w="873" w:type="dxa"/>
            <w:vMerge w:val="continue"/>
            <w:vAlign w:val="center"/>
          </w:tcPr>
          <w:p>
            <w:pPr>
              <w:widowControl/>
              <w:jc w:val="left"/>
              <w:rPr>
                <w:rFonts w:asci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5 企业标识标牌体系完善，业主手册、服务指南等客户服务资料简明实用。</w:t>
            </w:r>
          </w:p>
        </w:tc>
        <w:tc>
          <w:tcPr>
            <w:tcW w:w="873" w:type="dxa"/>
            <w:vMerge w:val="continue"/>
            <w:vAlign w:val="center"/>
          </w:tcPr>
          <w:p>
            <w:pPr>
              <w:widowControl/>
              <w:jc w:val="left"/>
              <w:rPr>
                <w:rFonts w:asci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698" w:type="dxa"/>
            <w:vMerge w:val="restart"/>
            <w:vAlign w:val="center"/>
          </w:tcPr>
          <w:p>
            <w:pPr>
              <w:widowControl/>
              <w:ind w:left="210" w:hanging="210" w:hangingChars="100"/>
              <w:jc w:val="center"/>
              <w:rPr>
                <w:rFonts w:ascii="宋体" w:eastAsia="仿宋_GB2312" w:cs="宋体"/>
                <w:color w:val="000000"/>
                <w:kern w:val="0"/>
                <w:szCs w:val="21"/>
              </w:rPr>
            </w:pPr>
            <w:r>
              <w:rPr>
                <w:rFonts w:hint="eastAsia" w:ascii="宋体" w:hAnsi="宋体" w:eastAsia="仿宋_GB2312" w:cs="宋体"/>
                <w:color w:val="000000"/>
                <w:kern w:val="0"/>
                <w:szCs w:val="21"/>
              </w:rPr>
              <w:t>客户服务管理</w:t>
            </w: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1 设立物业服务中心，公示物业服务企业营业执照、资质证书服务内容和标准、收费依据和标准、项目负责人照片及资格证书、服务电话；</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3</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一项不符合扣0.5分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2 有专人负责接待客户来访，24小时受理客户信息；</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3 客服接待人员值班记录及时，客户信息处理记录完整，按月进行统计分析；</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4 有客户回访制度和记录，投诉处理及时率100%，并按月进行统计分析；</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5 物业服务收费明码标价，实行物业服务费酬金制的，每年不少于一次公布物业服务资金的收支情况；</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6 利用共用部位、共用设施设备经营的，应当征得业主的同意，并定期公布收益情况。</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698" w:type="dxa"/>
            <w:vMerge w:val="restart"/>
            <w:vAlign w:val="center"/>
          </w:tcPr>
          <w:p>
            <w:pPr>
              <w:widowControl/>
              <w:ind w:left="210" w:hanging="210" w:hangingChars="100"/>
              <w:jc w:val="center"/>
              <w:rPr>
                <w:rFonts w:ascii="宋体" w:eastAsia="仿宋_GB2312" w:cs="宋体"/>
                <w:color w:val="000000"/>
                <w:kern w:val="0"/>
                <w:szCs w:val="21"/>
              </w:rPr>
            </w:pPr>
            <w:r>
              <w:rPr>
                <w:rFonts w:hint="eastAsia" w:ascii="宋体" w:hAnsi="宋体" w:eastAsia="仿宋_GB2312" w:cs="宋体"/>
                <w:color w:val="000000"/>
                <w:kern w:val="0"/>
                <w:szCs w:val="21"/>
              </w:rPr>
              <w:t>沟通报告机制</w:t>
            </w:r>
          </w:p>
        </w:tc>
        <w:tc>
          <w:tcPr>
            <w:tcW w:w="3641" w:type="dxa"/>
            <w:vAlign w:val="center"/>
          </w:tcPr>
          <w:p>
            <w:pPr>
              <w:widowControl/>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1 对住户违反治安、消防、环保、房屋装饰装修和使用等方面法律、法规规定的行为，及时进行劝阻，并向有关行政部门报告；</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2</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一项不符合扣1分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2 主动与物业所在地的房地产行政主管部门、街道办事处（乡镇人民政府）、公安派出所、居民委员会联络，积极听取业主委员会、业主和使用人对物业服务的意见和建议，主动接受业主委员会、业主和使用人的监督。</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339" w:type="dxa"/>
            <w:gridSpan w:val="2"/>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二、物业共用部位管理</w:t>
            </w:r>
          </w:p>
        </w:tc>
        <w:tc>
          <w:tcPr>
            <w:tcW w:w="873" w:type="dxa"/>
            <w:vAlign w:val="center"/>
          </w:tcPr>
          <w:p>
            <w:pPr>
              <w:widowControl/>
              <w:ind w:firstLine="105" w:firstLineChars="50"/>
              <w:jc w:val="left"/>
              <w:rPr>
                <w:rFonts w:ascii="宋体" w:hAnsi="宋体" w:eastAsia="仿宋_GB2312" w:cs="宋体"/>
                <w:color w:val="000000"/>
                <w:kern w:val="0"/>
                <w:szCs w:val="21"/>
              </w:rPr>
            </w:pPr>
            <w:r>
              <w:rPr>
                <w:rFonts w:hint="eastAsia" w:ascii="宋体" w:hAnsi="宋体" w:eastAsia="仿宋_GB2312" w:cs="宋体"/>
                <w:color w:val="000000"/>
                <w:kern w:val="0"/>
                <w:szCs w:val="21"/>
              </w:rPr>
              <w:t>11</w:t>
            </w:r>
          </w:p>
        </w:tc>
        <w:tc>
          <w:tcPr>
            <w:tcW w:w="941" w:type="dxa"/>
            <w:vAlign w:val="center"/>
          </w:tcPr>
          <w:p>
            <w:pPr>
              <w:widowControl/>
              <w:rPr>
                <w:rFonts w:ascii="宋体" w:hAnsi="宋体" w:eastAsia="仿宋_GB2312" w:cs="宋体"/>
                <w:color w:val="000000"/>
                <w:kern w:val="0"/>
                <w:szCs w:val="21"/>
              </w:rPr>
            </w:pPr>
          </w:p>
        </w:tc>
        <w:tc>
          <w:tcPr>
            <w:tcW w:w="763" w:type="dxa"/>
            <w:vAlign w:val="center"/>
          </w:tcPr>
          <w:p>
            <w:pPr>
              <w:widowControl/>
              <w:rPr>
                <w:rFonts w:ascii="宋体" w:hAnsi="宋体" w:eastAsia="仿宋_GB2312" w:cs="宋体"/>
                <w:color w:val="000000"/>
                <w:kern w:val="0"/>
                <w:szCs w:val="21"/>
              </w:rPr>
            </w:pPr>
          </w:p>
        </w:tc>
        <w:tc>
          <w:tcPr>
            <w:tcW w:w="818" w:type="dxa"/>
            <w:vAlign w:val="center"/>
          </w:tcPr>
          <w:p>
            <w:pPr>
              <w:widowControl/>
              <w:rPr>
                <w:rFonts w:ascii="宋体"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标识系统和维保资料</w:t>
            </w:r>
          </w:p>
        </w:tc>
        <w:tc>
          <w:tcPr>
            <w:tcW w:w="3641" w:type="dxa"/>
            <w:vAlign w:val="center"/>
          </w:tcPr>
          <w:p>
            <w:pPr>
              <w:widowControl/>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1 物业区域内交通标志、引导指示牌和平面示意图规范清晰；</w:t>
            </w:r>
          </w:p>
        </w:tc>
        <w:tc>
          <w:tcPr>
            <w:tcW w:w="873" w:type="dxa"/>
            <w:vMerge w:val="restart"/>
            <w:vAlign w:val="center"/>
          </w:tcPr>
          <w:p>
            <w:pPr>
              <w:widowControl/>
              <w:jc w:val="left"/>
              <w:rPr>
                <w:rFonts w:ascii="宋体" w:hAnsi="宋体" w:eastAsia="仿宋_GB2312" w:cs="宋体"/>
                <w:color w:val="000000"/>
                <w:kern w:val="0"/>
                <w:szCs w:val="21"/>
              </w:rPr>
            </w:pPr>
            <w:r>
              <w:rPr>
                <w:rFonts w:hint="eastAsia" w:ascii="宋体" w:hAnsi="宋体" w:eastAsia="仿宋_GB2312" w:cs="宋体"/>
                <w:color w:val="000000"/>
                <w:kern w:val="0"/>
                <w:szCs w:val="21"/>
              </w:rPr>
              <w:t>2</w:t>
            </w:r>
          </w:p>
        </w:tc>
        <w:tc>
          <w:tcPr>
            <w:tcW w:w="941" w:type="dxa"/>
            <w:vMerge w:val="restart"/>
            <w:vAlign w:val="center"/>
          </w:tcPr>
          <w:p>
            <w:pPr>
              <w:rPr>
                <w:rFonts w:ascii="宋体" w:eastAsia="仿宋_GB2312" w:cs="宋体"/>
                <w:color w:val="000000"/>
                <w:kern w:val="0"/>
                <w:sz w:val="18"/>
                <w:szCs w:val="18"/>
              </w:rPr>
            </w:pPr>
            <w:r>
              <w:rPr>
                <w:rFonts w:hint="eastAsia" w:ascii="宋体" w:hAnsi="宋体" w:eastAsia="仿宋_GB2312" w:cs="宋体"/>
                <w:color w:val="000000"/>
                <w:kern w:val="0"/>
                <w:sz w:val="18"/>
                <w:szCs w:val="18"/>
              </w:rPr>
              <w:t>一项不符合扣0.5分，一处不符合扣0.2分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2 组团、栋号、楼层、房号以及配套设施标志规范清晰；</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 w:val="18"/>
                <w:szCs w:val="18"/>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rPr>
                <w:rFonts w:ascii="宋体" w:eastAsia="仿宋_GB2312" w:cs="宋体"/>
                <w:color w:val="000000"/>
                <w:kern w:val="0"/>
                <w:szCs w:val="21"/>
              </w:rPr>
            </w:pPr>
          </w:p>
        </w:tc>
        <w:tc>
          <w:tcPr>
            <w:tcW w:w="3641" w:type="dxa"/>
            <w:vAlign w:val="center"/>
          </w:tcPr>
          <w:p>
            <w:pPr>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3 物业区域明显位置设置入驻单</w:t>
            </w:r>
          </w:p>
          <w:p>
            <w:pPr>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位（职能部门）名录牌；</w:t>
            </w:r>
          </w:p>
        </w:tc>
        <w:tc>
          <w:tcPr>
            <w:tcW w:w="873" w:type="dxa"/>
            <w:vMerge w:val="continue"/>
            <w:vAlign w:val="center"/>
          </w:tcPr>
          <w:p>
            <w:pPr>
              <w:jc w:val="left"/>
              <w:rPr>
                <w:rFonts w:ascii="宋体" w:eastAsia="仿宋_GB2312" w:cs="宋体"/>
                <w:color w:val="000000"/>
                <w:kern w:val="0"/>
                <w:szCs w:val="21"/>
              </w:rPr>
            </w:pPr>
          </w:p>
        </w:tc>
        <w:tc>
          <w:tcPr>
            <w:tcW w:w="941" w:type="dxa"/>
            <w:vMerge w:val="continue"/>
            <w:vAlign w:val="center"/>
          </w:tcPr>
          <w:p>
            <w:pPr>
              <w:rPr>
                <w:rFonts w:ascii="宋体" w:eastAsia="仿宋_GB2312" w:cs="宋体"/>
                <w:color w:val="000000"/>
                <w:kern w:val="0"/>
                <w:szCs w:val="21"/>
              </w:rPr>
            </w:pPr>
          </w:p>
        </w:tc>
        <w:tc>
          <w:tcPr>
            <w:tcW w:w="763" w:type="dxa"/>
            <w:vMerge w:val="continue"/>
            <w:vAlign w:val="center"/>
          </w:tcPr>
          <w:p>
            <w:pPr>
              <w:rPr>
                <w:rFonts w:ascii="宋体" w:eastAsia="仿宋_GB2312" w:cs="宋体"/>
                <w:color w:val="000000"/>
                <w:kern w:val="0"/>
                <w:szCs w:val="21"/>
              </w:rPr>
            </w:pPr>
          </w:p>
        </w:tc>
        <w:tc>
          <w:tcPr>
            <w:tcW w:w="818" w:type="dxa"/>
            <w:vMerge w:val="continue"/>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4 物业维修、保养记录完整。</w:t>
            </w:r>
          </w:p>
        </w:tc>
        <w:tc>
          <w:tcPr>
            <w:tcW w:w="873" w:type="dxa"/>
            <w:vMerge w:val="continue"/>
            <w:vAlign w:val="center"/>
          </w:tcPr>
          <w:p>
            <w:pPr>
              <w:widowControl/>
              <w:jc w:val="left"/>
              <w:rPr>
                <w:rFonts w:asci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共用部位使用管理</w:t>
            </w:r>
          </w:p>
        </w:tc>
        <w:tc>
          <w:tcPr>
            <w:tcW w:w="3641" w:type="dxa"/>
            <w:vAlign w:val="center"/>
          </w:tcPr>
          <w:p>
            <w:pPr>
              <w:widowControl/>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1 共用场地、部位符合规划要求，无违章搭建现象；</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1</w:t>
            </w:r>
          </w:p>
        </w:tc>
        <w:tc>
          <w:tcPr>
            <w:tcW w:w="941" w:type="dxa"/>
            <w:vMerge w:val="restart"/>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一项不符合扣0.5分，一处不符合扣0.2分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2 物业共用部位使用符合建筑设计要求，无擅自改变用途现象。</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spacing w:line="240" w:lineRule="exact"/>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restart"/>
            <w:vAlign w:val="center"/>
          </w:tcPr>
          <w:p>
            <w:pPr>
              <w:widowControl/>
              <w:ind w:left="315" w:hanging="315" w:hangingChars="150"/>
              <w:jc w:val="center"/>
              <w:rPr>
                <w:rFonts w:ascii="宋体" w:eastAsia="仿宋_GB2312" w:cs="宋体"/>
                <w:color w:val="000000"/>
                <w:kern w:val="0"/>
                <w:szCs w:val="21"/>
              </w:rPr>
            </w:pPr>
            <w:r>
              <w:rPr>
                <w:rFonts w:hint="eastAsia" w:ascii="宋体" w:hAnsi="宋体" w:eastAsia="仿宋_GB2312" w:cs="宋体"/>
                <w:color w:val="000000"/>
                <w:kern w:val="0"/>
                <w:szCs w:val="21"/>
              </w:rPr>
              <w:t>物业外观状况</w:t>
            </w:r>
          </w:p>
        </w:tc>
        <w:tc>
          <w:tcPr>
            <w:tcW w:w="3641" w:type="dxa"/>
            <w:vAlign w:val="center"/>
          </w:tcPr>
          <w:p>
            <w:pPr>
              <w:widowControl/>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1 房屋外观完好、整洁，无渗水现象；</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2</w:t>
            </w:r>
          </w:p>
        </w:tc>
        <w:tc>
          <w:tcPr>
            <w:tcW w:w="941" w:type="dxa"/>
            <w:vMerge w:val="restart"/>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一项不符合扣0.5分，一处不符合扣0.2分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2 房屋外部无破损、脱落、污迹、乱贴、乱涂、乱画和乱挂；</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3 定期巡检外墙，及时消除安全隐患，建材贴面无脱落，涂料墙面无污染，玻璃幕墙无破坏；</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4 外墙清洗或粉刷按合同和计划组织实施、记录完整。</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98"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室外附加设施管理</w:t>
            </w: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1 制定并实施室外附加设施统一、规范的安装标准和管理制度；</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2</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一项不符合扣0.5分，一处不符合扣0.2分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2 室外招牌、广告牌、夜景灯等设施按规定办理报批，手续齐全，色彩风格统一；</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3 空调安装位置统一，管线整齐，冷凝水集中排放；</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4 定期巡视检查，发现安全隐患，及时告知或劝阻业主及相关当事人，并采取相应防范措施。</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698" w:type="dxa"/>
            <w:vMerge w:val="restart"/>
            <w:vAlign w:val="center"/>
          </w:tcPr>
          <w:p>
            <w:pPr>
              <w:widowControl/>
              <w:ind w:left="210" w:hanging="210" w:hangingChars="100"/>
              <w:jc w:val="center"/>
              <w:rPr>
                <w:rFonts w:ascii="宋体" w:eastAsia="仿宋_GB2312" w:cs="宋体"/>
                <w:color w:val="000000"/>
                <w:kern w:val="0"/>
                <w:szCs w:val="21"/>
              </w:rPr>
            </w:pPr>
            <w:r>
              <w:rPr>
                <w:rFonts w:hint="eastAsia" w:ascii="宋体" w:hAnsi="宋体" w:eastAsia="仿宋_GB2312" w:cs="宋体"/>
                <w:color w:val="000000"/>
                <w:kern w:val="0"/>
                <w:szCs w:val="21"/>
              </w:rPr>
              <w:t>装饰装修管理</w:t>
            </w: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1 按相关规定审核客户装饰装修方案，特殊场所装修装饰方案须经消防部门核准；</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3</w:t>
            </w:r>
          </w:p>
        </w:tc>
        <w:tc>
          <w:tcPr>
            <w:tcW w:w="941" w:type="dxa"/>
            <w:vMerge w:val="restart"/>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一项不符合扣0.5分，一处不符合扣0.2分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2 签订装饰装修管理服务协议，办理装修施工批准手续；</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spacing w:line="300" w:lineRule="exact"/>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3 书面告知业主及施工单位装饰装修的禁止行为和注意事项，并在装修现场公示，装修现场的消防及安全防范措施得当；</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spacing w:line="300" w:lineRule="exact"/>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4 装修人员出入和装修施工时间有效控制，装修垃圾定点堆放，定时清运；</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spacing w:line="300" w:lineRule="exact"/>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698" w:type="dxa"/>
            <w:vMerge w:val="continue"/>
            <w:vAlign w:val="center"/>
          </w:tcPr>
          <w:p>
            <w:pPr>
              <w:ind w:left="210" w:hanging="210" w:hangingChars="100"/>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5 专人每日巡视检查装修现场，及时劝阻和制止装修违规行为，制止无效的，书面报告业主委员会及有关部门；</w:t>
            </w:r>
          </w:p>
        </w:tc>
        <w:tc>
          <w:tcPr>
            <w:tcW w:w="873" w:type="dxa"/>
            <w:vMerge w:val="continue"/>
            <w:vAlign w:val="center"/>
          </w:tcPr>
          <w:p>
            <w:pPr>
              <w:jc w:val="left"/>
              <w:rPr>
                <w:rFonts w:ascii="宋体" w:eastAsia="仿宋_GB2312" w:cs="宋体"/>
                <w:color w:val="000000"/>
                <w:kern w:val="0"/>
                <w:szCs w:val="21"/>
              </w:rPr>
            </w:pPr>
          </w:p>
        </w:tc>
        <w:tc>
          <w:tcPr>
            <w:tcW w:w="941" w:type="dxa"/>
            <w:vMerge w:val="continue"/>
            <w:vAlign w:val="center"/>
          </w:tcPr>
          <w:p>
            <w:pPr>
              <w:spacing w:line="300" w:lineRule="exact"/>
              <w:rPr>
                <w:rFonts w:ascii="宋体" w:eastAsia="仿宋_GB2312" w:cs="宋体"/>
                <w:color w:val="000000"/>
                <w:kern w:val="0"/>
                <w:szCs w:val="21"/>
              </w:rPr>
            </w:pPr>
          </w:p>
        </w:tc>
        <w:tc>
          <w:tcPr>
            <w:tcW w:w="763" w:type="dxa"/>
            <w:vMerge w:val="continue"/>
            <w:vAlign w:val="center"/>
          </w:tcPr>
          <w:p>
            <w:pPr>
              <w:rPr>
                <w:rFonts w:ascii="宋体" w:eastAsia="仿宋_GB2312" w:cs="宋体"/>
                <w:color w:val="000000"/>
                <w:kern w:val="0"/>
                <w:szCs w:val="21"/>
              </w:rPr>
            </w:pPr>
          </w:p>
        </w:tc>
        <w:tc>
          <w:tcPr>
            <w:tcW w:w="818" w:type="dxa"/>
            <w:vMerge w:val="continue"/>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6 装修验收手续完备，装修档案保存完整。</w:t>
            </w:r>
          </w:p>
        </w:tc>
        <w:tc>
          <w:tcPr>
            <w:tcW w:w="873" w:type="dxa"/>
            <w:vMerge w:val="continue"/>
            <w:vAlign w:val="center"/>
          </w:tcPr>
          <w:p>
            <w:pPr>
              <w:widowControl/>
              <w:jc w:val="left"/>
              <w:rPr>
                <w:rFonts w:ascii="宋体" w:eastAsia="仿宋_GB2312" w:cs="宋体"/>
                <w:color w:val="000000"/>
                <w:kern w:val="0"/>
                <w:szCs w:val="21"/>
              </w:rPr>
            </w:pPr>
          </w:p>
        </w:tc>
        <w:tc>
          <w:tcPr>
            <w:tcW w:w="941" w:type="dxa"/>
            <w:vMerge w:val="continue"/>
            <w:vAlign w:val="center"/>
          </w:tcPr>
          <w:p>
            <w:pPr>
              <w:widowControl/>
              <w:spacing w:line="300" w:lineRule="exact"/>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698"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日常巡视、检查与管理</w:t>
            </w: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1 每日巡查天台、楼梯、通道、窗户等共用部位，发现损坏，及时维修养护并做好记录；</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1</w:t>
            </w:r>
          </w:p>
        </w:tc>
        <w:tc>
          <w:tcPr>
            <w:tcW w:w="941" w:type="dxa"/>
            <w:vMerge w:val="restart"/>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一项不符合扣1分，一处不符合扣0.2分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2 门窗无破损，楼梯、通道以及屋面无乱堆乱放现象，屋面防水性能良好，进出有监管措施。</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339" w:type="dxa"/>
            <w:gridSpan w:val="2"/>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三、共用设施设备运行、维修和养护</w:t>
            </w:r>
          </w:p>
        </w:tc>
        <w:tc>
          <w:tcPr>
            <w:tcW w:w="873" w:type="dxa"/>
            <w:vAlign w:val="center"/>
          </w:tcPr>
          <w:p>
            <w:pPr>
              <w:widowControl/>
              <w:ind w:firstLine="105" w:firstLineChars="50"/>
              <w:jc w:val="left"/>
              <w:rPr>
                <w:rFonts w:ascii="宋体" w:hAnsi="宋体" w:eastAsia="仿宋_GB2312" w:cs="宋体"/>
                <w:color w:val="000000"/>
                <w:kern w:val="0"/>
                <w:szCs w:val="21"/>
              </w:rPr>
            </w:pPr>
            <w:r>
              <w:rPr>
                <w:rFonts w:hint="eastAsia" w:ascii="宋体" w:hAnsi="宋体" w:eastAsia="仿宋_GB2312" w:cs="宋体"/>
                <w:color w:val="000000"/>
                <w:kern w:val="0"/>
                <w:szCs w:val="21"/>
              </w:rPr>
              <w:t>31</w:t>
            </w:r>
          </w:p>
        </w:tc>
        <w:tc>
          <w:tcPr>
            <w:tcW w:w="941" w:type="dxa"/>
            <w:vAlign w:val="center"/>
          </w:tcPr>
          <w:p>
            <w:pPr>
              <w:widowControl/>
              <w:rPr>
                <w:rFonts w:ascii="宋体" w:eastAsia="仿宋_GB2312" w:cs="宋体"/>
                <w:color w:val="FF0000"/>
                <w:kern w:val="0"/>
                <w:szCs w:val="21"/>
              </w:rPr>
            </w:pPr>
          </w:p>
        </w:tc>
        <w:tc>
          <w:tcPr>
            <w:tcW w:w="763" w:type="dxa"/>
            <w:vAlign w:val="center"/>
          </w:tcPr>
          <w:p>
            <w:pPr>
              <w:widowControl/>
              <w:rPr>
                <w:rFonts w:ascii="宋体" w:eastAsia="仿宋_GB2312" w:cs="宋体"/>
                <w:color w:val="FF0000"/>
                <w:kern w:val="0"/>
                <w:szCs w:val="21"/>
              </w:rPr>
            </w:pPr>
          </w:p>
        </w:tc>
        <w:tc>
          <w:tcPr>
            <w:tcW w:w="818" w:type="dxa"/>
            <w:vAlign w:val="center"/>
          </w:tcPr>
          <w:p>
            <w:pPr>
              <w:widowControl/>
              <w:rPr>
                <w:rFonts w:ascii="宋体" w:eastAsia="仿宋_GB2312"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98"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共用设施设备管理和运行状况</w:t>
            </w:r>
          </w:p>
        </w:tc>
        <w:tc>
          <w:tcPr>
            <w:tcW w:w="3641" w:type="dxa"/>
            <w:vAlign w:val="center"/>
          </w:tcPr>
          <w:p>
            <w:pPr>
              <w:widowControl/>
              <w:spacing w:line="360" w:lineRule="exact"/>
              <w:rPr>
                <w:rFonts w:ascii="宋体" w:eastAsia="仿宋_GB2312" w:cs="宋体"/>
                <w:color w:val="000000"/>
                <w:kern w:val="0"/>
                <w:szCs w:val="21"/>
              </w:rPr>
            </w:pPr>
            <w:r>
              <w:rPr>
                <w:rFonts w:hint="eastAsia" w:ascii="宋体" w:hAnsi="宋体" w:eastAsia="仿宋_GB2312" w:cs="宋体"/>
                <w:color w:val="000000"/>
                <w:kern w:val="0"/>
                <w:szCs w:val="21"/>
              </w:rPr>
              <w:t>1 设施设备专业管理人员配置合理，岗位责任明确；</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4</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一项不符合扣0.5分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60" w:lineRule="exact"/>
              <w:rPr>
                <w:rFonts w:ascii="宋体" w:eastAsia="仿宋_GB2312" w:cs="宋体"/>
                <w:color w:val="000000"/>
                <w:kern w:val="0"/>
                <w:szCs w:val="21"/>
              </w:rPr>
            </w:pPr>
            <w:r>
              <w:rPr>
                <w:rFonts w:hint="eastAsia" w:ascii="宋体" w:hAnsi="宋体" w:eastAsia="仿宋_GB2312" w:cs="宋体"/>
                <w:color w:val="000000"/>
                <w:kern w:val="0"/>
                <w:szCs w:val="21"/>
              </w:rPr>
              <w:t>2 建立设施设备总账、台账、设备卡，设施设备标志齐全、规范；</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60" w:lineRule="exact"/>
              <w:rPr>
                <w:rFonts w:ascii="宋体" w:eastAsia="仿宋_GB2312" w:cs="宋体"/>
                <w:color w:val="000000"/>
                <w:kern w:val="0"/>
                <w:szCs w:val="21"/>
              </w:rPr>
            </w:pPr>
            <w:r>
              <w:rPr>
                <w:rFonts w:hint="eastAsia" w:ascii="宋体" w:hAnsi="宋体" w:eastAsia="仿宋_GB2312" w:cs="宋体"/>
                <w:color w:val="000000"/>
                <w:kern w:val="0"/>
                <w:szCs w:val="21"/>
              </w:rPr>
              <w:t>3 设施设备运行、维护、保养和检查等管理制度健全；</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60" w:lineRule="exact"/>
              <w:rPr>
                <w:rFonts w:ascii="宋体" w:eastAsia="仿宋_GB2312" w:cs="宋体"/>
                <w:color w:val="000000"/>
                <w:kern w:val="0"/>
                <w:szCs w:val="21"/>
              </w:rPr>
            </w:pPr>
            <w:r>
              <w:rPr>
                <w:rFonts w:hint="eastAsia" w:ascii="宋体" w:hAnsi="宋体" w:eastAsia="仿宋_GB2312" w:cs="宋体"/>
                <w:color w:val="000000"/>
                <w:kern w:val="0"/>
                <w:szCs w:val="21"/>
              </w:rPr>
              <w:t>4 制定并实施日常设施设备检修、巡视、保养、紧急情况处理等制度；</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60" w:lineRule="exact"/>
              <w:rPr>
                <w:rFonts w:ascii="宋体" w:eastAsia="仿宋_GB2312" w:cs="宋体"/>
                <w:color w:val="000000"/>
                <w:kern w:val="0"/>
                <w:szCs w:val="21"/>
              </w:rPr>
            </w:pPr>
            <w:r>
              <w:rPr>
                <w:rFonts w:hint="eastAsia" w:ascii="宋体" w:hAnsi="宋体" w:eastAsia="仿宋_GB2312" w:cs="宋体"/>
                <w:color w:val="000000"/>
                <w:kern w:val="0"/>
                <w:szCs w:val="21"/>
              </w:rPr>
              <w:t>5 制定并实施年、季、月度设施设备维护、保养计划；</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60" w:lineRule="exact"/>
              <w:rPr>
                <w:rFonts w:ascii="宋体" w:eastAsia="仿宋_GB2312" w:cs="宋体"/>
                <w:color w:val="000000"/>
                <w:kern w:val="0"/>
                <w:szCs w:val="21"/>
              </w:rPr>
            </w:pPr>
            <w:r>
              <w:rPr>
                <w:rFonts w:hint="eastAsia" w:ascii="宋体" w:hAnsi="宋体" w:eastAsia="仿宋_GB2312" w:cs="宋体"/>
                <w:color w:val="000000"/>
                <w:kern w:val="0"/>
                <w:szCs w:val="21"/>
              </w:rPr>
              <w:t>6 操作人员熟练掌握、严格执行设施设备操作规程及保养规范；</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60" w:lineRule="exact"/>
              <w:rPr>
                <w:rFonts w:ascii="宋体" w:eastAsia="仿宋_GB2312" w:cs="宋体"/>
                <w:color w:val="000000"/>
                <w:kern w:val="0"/>
                <w:szCs w:val="21"/>
              </w:rPr>
            </w:pPr>
            <w:r>
              <w:rPr>
                <w:rFonts w:hint="eastAsia" w:ascii="宋体" w:hAnsi="宋体" w:eastAsia="仿宋_GB2312" w:cs="宋体"/>
                <w:color w:val="000000"/>
                <w:kern w:val="0"/>
                <w:szCs w:val="21"/>
              </w:rPr>
              <w:t>7选聘符合国家规定的资质条件的专项服务单位，签订专业、规范的外包服务合同；</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60" w:lineRule="exact"/>
              <w:rPr>
                <w:rFonts w:ascii="宋体" w:eastAsia="仿宋_GB2312" w:cs="宋体"/>
                <w:color w:val="000000"/>
                <w:kern w:val="0"/>
                <w:szCs w:val="21"/>
              </w:rPr>
            </w:pPr>
            <w:r>
              <w:rPr>
                <w:rFonts w:hint="eastAsia" w:ascii="宋体" w:hAnsi="宋体" w:eastAsia="仿宋_GB2312" w:cs="宋体"/>
                <w:color w:val="000000"/>
                <w:kern w:val="0"/>
                <w:szCs w:val="21"/>
              </w:rPr>
              <w:t>8 制定并实施外包服务合同全程监管制度。</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98"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室外共用管线、管道和道路管理</w:t>
            </w:r>
          </w:p>
        </w:tc>
        <w:tc>
          <w:tcPr>
            <w:tcW w:w="3641" w:type="dxa"/>
            <w:vAlign w:val="center"/>
          </w:tcPr>
          <w:p>
            <w:pPr>
              <w:widowControl/>
              <w:spacing w:line="360" w:lineRule="exact"/>
              <w:rPr>
                <w:rFonts w:ascii="宋体" w:eastAsia="仿宋_GB2312" w:cs="宋体"/>
                <w:color w:val="000000"/>
                <w:kern w:val="0"/>
                <w:szCs w:val="21"/>
              </w:rPr>
            </w:pPr>
            <w:r>
              <w:rPr>
                <w:rFonts w:hint="eastAsia" w:ascii="宋体" w:hAnsi="宋体" w:eastAsia="仿宋_GB2312" w:cs="宋体"/>
                <w:color w:val="000000"/>
                <w:kern w:val="0"/>
                <w:szCs w:val="21"/>
              </w:rPr>
              <w:t>1 室外共用管线统一入地或入公共管道，整齐有序，无架空管线；</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2</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一项不符合扣0.5分，一处不符合扣0.2分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60" w:lineRule="exact"/>
              <w:rPr>
                <w:rFonts w:ascii="宋体" w:eastAsia="仿宋_GB2312" w:cs="宋体"/>
                <w:color w:val="000000"/>
                <w:kern w:val="0"/>
                <w:szCs w:val="21"/>
              </w:rPr>
            </w:pPr>
            <w:r>
              <w:rPr>
                <w:rFonts w:hint="eastAsia" w:ascii="宋体" w:hAnsi="宋体" w:eastAsia="仿宋_GB2312" w:cs="宋体"/>
                <w:color w:val="000000"/>
                <w:kern w:val="0"/>
                <w:szCs w:val="21"/>
              </w:rPr>
              <w:t>2 排水排污管道通畅；</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60" w:lineRule="exact"/>
              <w:rPr>
                <w:rFonts w:ascii="宋体" w:eastAsia="仿宋_GB2312" w:cs="宋体"/>
                <w:color w:val="000000"/>
                <w:kern w:val="0"/>
                <w:szCs w:val="21"/>
              </w:rPr>
            </w:pPr>
            <w:r>
              <w:rPr>
                <w:rFonts w:hint="eastAsia" w:ascii="宋体" w:hAnsi="宋体" w:eastAsia="仿宋_GB2312" w:cs="宋体"/>
                <w:color w:val="000000"/>
                <w:kern w:val="0"/>
                <w:szCs w:val="21"/>
              </w:rPr>
              <w:t>3 雨水井、化粪池定期巡检、疏通与清掏，无堵塞、外溢现象；</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60" w:lineRule="exact"/>
              <w:rPr>
                <w:rFonts w:ascii="宋体" w:eastAsia="仿宋_GB2312" w:cs="宋体"/>
                <w:color w:val="000000"/>
                <w:kern w:val="0"/>
                <w:szCs w:val="21"/>
              </w:rPr>
            </w:pPr>
            <w:r>
              <w:rPr>
                <w:rFonts w:hint="eastAsia" w:ascii="宋体" w:hAnsi="宋体" w:eastAsia="仿宋_GB2312" w:cs="宋体"/>
                <w:color w:val="000000"/>
                <w:kern w:val="0"/>
                <w:szCs w:val="21"/>
              </w:rPr>
              <w:t>4 道路通畅，路面整洁平整，路面井盖无缺损、无丢失，井盖表面标志清晰。</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restart"/>
            <w:vAlign w:val="center"/>
          </w:tcPr>
          <w:p>
            <w:pPr>
              <w:widowControl/>
              <w:ind w:left="315" w:hanging="315" w:hangingChars="150"/>
              <w:jc w:val="center"/>
              <w:rPr>
                <w:rFonts w:ascii="宋体" w:eastAsia="仿宋_GB2312" w:cs="宋体"/>
                <w:color w:val="000000"/>
                <w:kern w:val="0"/>
                <w:szCs w:val="21"/>
              </w:rPr>
            </w:pPr>
            <w:r>
              <w:rPr>
                <w:rFonts w:hint="eastAsia" w:ascii="宋体" w:hAnsi="宋体" w:eastAsia="仿宋_GB2312" w:cs="宋体"/>
                <w:color w:val="000000"/>
                <w:kern w:val="0"/>
                <w:szCs w:val="21"/>
              </w:rPr>
              <w:t>设备机房管理</w:t>
            </w: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1 设备系统图、操作规程、岗位责任制度、应急预案流程图、特种作业人员资格证书等齐全，张贴于机房明显位置；</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3</w:t>
            </w:r>
          </w:p>
        </w:tc>
        <w:tc>
          <w:tcPr>
            <w:tcW w:w="941" w:type="dxa"/>
            <w:vMerge w:val="restart"/>
            <w:vAlign w:val="center"/>
          </w:tcPr>
          <w:p>
            <w:pPr>
              <w:widowControl/>
              <w:spacing w:line="300" w:lineRule="exact"/>
              <w:rPr>
                <w:rFonts w:ascii="宋体" w:hAnsi="宋体" w:eastAsia="仿宋_GB2312" w:cs="宋体"/>
                <w:color w:val="000000"/>
                <w:kern w:val="0"/>
                <w:szCs w:val="21"/>
              </w:rPr>
            </w:pPr>
            <w:r>
              <w:rPr>
                <w:rFonts w:hint="eastAsia" w:ascii="宋体" w:hAnsi="宋体" w:eastAsia="仿宋_GB2312" w:cs="宋体"/>
                <w:color w:val="000000"/>
                <w:kern w:val="0"/>
                <w:szCs w:val="21"/>
              </w:rPr>
              <w:t>一项不符合扣0.5分，一处不符合扣0.2分</w:t>
            </w:r>
          </w:p>
        </w:tc>
        <w:tc>
          <w:tcPr>
            <w:tcW w:w="763" w:type="dxa"/>
            <w:vMerge w:val="restart"/>
            <w:vAlign w:val="center"/>
          </w:tcPr>
          <w:p>
            <w:pPr>
              <w:widowControl/>
              <w:rPr>
                <w:rFonts w:ascii="宋体" w:hAnsi="宋体" w:eastAsia="仿宋_GB2312" w:cs="宋体"/>
                <w:color w:val="000000"/>
                <w:kern w:val="0"/>
                <w:szCs w:val="21"/>
              </w:rPr>
            </w:pPr>
          </w:p>
          <w:p>
            <w:pPr>
              <w:widowControl/>
              <w:rPr>
                <w:rFonts w:ascii="宋体" w:hAnsi="宋体" w:eastAsia="仿宋_GB2312" w:cs="宋体"/>
                <w:color w:val="000000"/>
                <w:kern w:val="0"/>
                <w:szCs w:val="21"/>
              </w:rPr>
            </w:pPr>
          </w:p>
        </w:tc>
        <w:tc>
          <w:tcPr>
            <w:tcW w:w="818" w:type="dxa"/>
            <w:vMerge w:val="restart"/>
            <w:vAlign w:val="center"/>
          </w:tcPr>
          <w:p>
            <w:pPr>
              <w:widowControl/>
              <w:rPr>
                <w:rFonts w:ascii="宋体"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2 值班及非工作人员进出管理制度完善、记录完整；</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spacing w:line="300" w:lineRule="exact"/>
              <w:jc w:val="left"/>
              <w:rPr>
                <w:rFonts w:ascii="宋体" w:hAnsi="宋体" w:eastAsia="仿宋_GB2312" w:cs="宋体"/>
                <w:color w:val="000000"/>
                <w:kern w:val="0"/>
                <w:szCs w:val="21"/>
              </w:rPr>
            </w:pPr>
          </w:p>
        </w:tc>
        <w:tc>
          <w:tcPr>
            <w:tcW w:w="763" w:type="dxa"/>
            <w:vMerge w:val="continue"/>
            <w:vAlign w:val="center"/>
          </w:tcPr>
          <w:p>
            <w:pPr>
              <w:widowControl/>
              <w:jc w:val="left"/>
              <w:rPr>
                <w:rFonts w:ascii="宋体" w:hAnsi="宋体" w:eastAsia="仿宋_GB2312" w:cs="宋体"/>
                <w:color w:val="000000"/>
                <w:kern w:val="0"/>
                <w:szCs w:val="21"/>
              </w:rPr>
            </w:pPr>
          </w:p>
        </w:tc>
        <w:tc>
          <w:tcPr>
            <w:tcW w:w="818" w:type="dxa"/>
            <w:vMerge w:val="continue"/>
            <w:vAlign w:val="center"/>
          </w:tcPr>
          <w:p>
            <w:pPr>
              <w:widowControl/>
              <w:jc w:val="left"/>
              <w:rPr>
                <w:rFonts w:ascii="宋体"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3 设备管线标志清晰，仪器仪表运行正常、数据准确；</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spacing w:line="300" w:lineRule="exact"/>
              <w:jc w:val="left"/>
              <w:rPr>
                <w:rFonts w:ascii="宋体" w:hAnsi="宋体" w:eastAsia="仿宋_GB2312" w:cs="宋体"/>
                <w:color w:val="000000"/>
                <w:kern w:val="0"/>
                <w:szCs w:val="21"/>
              </w:rPr>
            </w:pPr>
          </w:p>
        </w:tc>
        <w:tc>
          <w:tcPr>
            <w:tcW w:w="763" w:type="dxa"/>
            <w:vMerge w:val="continue"/>
            <w:vAlign w:val="center"/>
          </w:tcPr>
          <w:p>
            <w:pPr>
              <w:widowControl/>
              <w:jc w:val="left"/>
              <w:rPr>
                <w:rFonts w:ascii="宋体" w:hAnsi="宋体" w:eastAsia="仿宋_GB2312" w:cs="宋体"/>
                <w:color w:val="000000"/>
                <w:kern w:val="0"/>
                <w:szCs w:val="21"/>
              </w:rPr>
            </w:pPr>
          </w:p>
        </w:tc>
        <w:tc>
          <w:tcPr>
            <w:tcW w:w="818" w:type="dxa"/>
            <w:vMerge w:val="continue"/>
            <w:vAlign w:val="center"/>
          </w:tcPr>
          <w:p>
            <w:pPr>
              <w:widowControl/>
              <w:jc w:val="left"/>
              <w:rPr>
                <w:rFonts w:ascii="宋体"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4 机房整洁、无渗漏、无积水、无杂物堆放，设备表面无积尘、无锈蚀；</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spacing w:line="300" w:lineRule="exact"/>
              <w:jc w:val="left"/>
              <w:rPr>
                <w:rFonts w:ascii="宋体" w:hAnsi="宋体" w:eastAsia="仿宋_GB2312" w:cs="宋体"/>
                <w:color w:val="000000"/>
                <w:kern w:val="0"/>
                <w:szCs w:val="21"/>
              </w:rPr>
            </w:pPr>
          </w:p>
        </w:tc>
        <w:tc>
          <w:tcPr>
            <w:tcW w:w="763" w:type="dxa"/>
            <w:vMerge w:val="continue"/>
            <w:vAlign w:val="center"/>
          </w:tcPr>
          <w:p>
            <w:pPr>
              <w:widowControl/>
              <w:jc w:val="left"/>
              <w:rPr>
                <w:rFonts w:ascii="宋体" w:hAnsi="宋体" w:eastAsia="仿宋_GB2312" w:cs="宋体"/>
                <w:color w:val="000000"/>
                <w:kern w:val="0"/>
                <w:szCs w:val="21"/>
              </w:rPr>
            </w:pPr>
          </w:p>
        </w:tc>
        <w:tc>
          <w:tcPr>
            <w:tcW w:w="818" w:type="dxa"/>
            <w:vMerge w:val="continue"/>
            <w:vAlign w:val="center"/>
          </w:tcPr>
          <w:p>
            <w:pPr>
              <w:widowControl/>
              <w:jc w:val="left"/>
              <w:rPr>
                <w:rFonts w:ascii="宋体"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5.防鼠板、防鼠网材质、规格，防鼠药物投放等符合规范要求；</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spacing w:line="300" w:lineRule="exact"/>
              <w:jc w:val="left"/>
              <w:rPr>
                <w:rFonts w:ascii="宋体" w:hAnsi="宋体" w:eastAsia="仿宋_GB2312" w:cs="宋体"/>
                <w:color w:val="000000"/>
                <w:kern w:val="0"/>
                <w:szCs w:val="21"/>
              </w:rPr>
            </w:pPr>
          </w:p>
        </w:tc>
        <w:tc>
          <w:tcPr>
            <w:tcW w:w="763" w:type="dxa"/>
            <w:vMerge w:val="continue"/>
            <w:vAlign w:val="center"/>
          </w:tcPr>
          <w:p>
            <w:pPr>
              <w:widowControl/>
              <w:jc w:val="left"/>
              <w:rPr>
                <w:rFonts w:ascii="宋体" w:hAnsi="宋体" w:eastAsia="仿宋_GB2312" w:cs="宋体"/>
                <w:color w:val="000000"/>
                <w:kern w:val="0"/>
                <w:szCs w:val="21"/>
              </w:rPr>
            </w:pPr>
          </w:p>
        </w:tc>
        <w:tc>
          <w:tcPr>
            <w:tcW w:w="818" w:type="dxa"/>
            <w:vMerge w:val="continue"/>
            <w:vAlign w:val="center"/>
          </w:tcPr>
          <w:p>
            <w:pPr>
              <w:widowControl/>
              <w:jc w:val="left"/>
              <w:rPr>
                <w:rFonts w:ascii="宋体"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6 设备噪声符合规范要求，有环境要求的设备机房，温、湿度在规定范围内。</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spacing w:line="300" w:lineRule="exact"/>
              <w:jc w:val="left"/>
              <w:rPr>
                <w:rFonts w:ascii="宋体" w:hAnsi="宋体" w:eastAsia="仿宋_GB2312" w:cs="宋体"/>
                <w:color w:val="000000"/>
                <w:kern w:val="0"/>
                <w:szCs w:val="21"/>
              </w:rPr>
            </w:pPr>
          </w:p>
        </w:tc>
        <w:tc>
          <w:tcPr>
            <w:tcW w:w="763" w:type="dxa"/>
            <w:vMerge w:val="continue"/>
            <w:vAlign w:val="center"/>
          </w:tcPr>
          <w:p>
            <w:pPr>
              <w:widowControl/>
              <w:jc w:val="left"/>
              <w:rPr>
                <w:rFonts w:ascii="宋体" w:hAnsi="宋体" w:eastAsia="仿宋_GB2312" w:cs="宋体"/>
                <w:color w:val="000000"/>
                <w:kern w:val="0"/>
                <w:szCs w:val="21"/>
              </w:rPr>
            </w:pPr>
          </w:p>
        </w:tc>
        <w:tc>
          <w:tcPr>
            <w:tcW w:w="818" w:type="dxa"/>
            <w:vMerge w:val="continue"/>
            <w:vAlign w:val="center"/>
          </w:tcPr>
          <w:p>
            <w:pPr>
              <w:widowControl/>
              <w:jc w:val="left"/>
              <w:rPr>
                <w:rFonts w:ascii="宋体"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98" w:type="dxa"/>
            <w:vMerge w:val="restart"/>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库房管理</w:t>
            </w: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1 建立并实施维修工具、备品、备件采购、存放、出入库和报废管理制度；</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1</w:t>
            </w:r>
          </w:p>
        </w:tc>
        <w:tc>
          <w:tcPr>
            <w:tcW w:w="941" w:type="dxa"/>
            <w:vMerge w:val="restart"/>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一项不符合扣0.5分，一处不符合扣0.2分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2 对危险品、化学品等特殊备品、备件单独存放，并定期检查。</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restart"/>
            <w:vAlign w:val="center"/>
          </w:tcPr>
          <w:p>
            <w:pPr>
              <w:widowControl/>
              <w:ind w:left="315" w:hanging="315" w:hangingChars="150"/>
              <w:jc w:val="center"/>
              <w:rPr>
                <w:rFonts w:ascii="宋体" w:eastAsia="仿宋_GB2312" w:cs="宋体"/>
                <w:color w:val="000000"/>
                <w:kern w:val="0"/>
                <w:szCs w:val="21"/>
              </w:rPr>
            </w:pPr>
            <w:r>
              <w:rPr>
                <w:rFonts w:hint="eastAsia" w:ascii="宋体" w:hAnsi="宋体" w:eastAsia="仿宋_GB2312" w:cs="宋体"/>
                <w:color w:val="000000"/>
                <w:kern w:val="0"/>
                <w:szCs w:val="21"/>
              </w:rPr>
              <w:t>供电系统管理</w:t>
            </w: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1 管理制度与措施符合专业要求，执行严格，设备编号有序，运行、维修、保养、巡检记录完整；</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3</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一项不符合扣0.5分，一处不符合扣0.2分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2 停、送电严格执行操作票制度；</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3 变配电室安全警示牌配置齐全；</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4 高压供电检修检验和安全防护用具配置齐全，年检合格；</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5 后备电源设备定期检测，能够随时启用；</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300" w:lineRule="exact"/>
              <w:rPr>
                <w:rFonts w:ascii="宋体" w:eastAsia="仿宋_GB2312" w:cs="宋体"/>
                <w:color w:val="000000"/>
                <w:kern w:val="0"/>
                <w:szCs w:val="21"/>
              </w:rPr>
            </w:pPr>
            <w:r>
              <w:rPr>
                <w:rFonts w:hint="eastAsia" w:ascii="宋体" w:hAnsi="宋体" w:eastAsia="仿宋_GB2312" w:cs="宋体"/>
                <w:color w:val="000000"/>
                <w:kern w:val="0"/>
                <w:szCs w:val="21"/>
              </w:rPr>
              <w:t>6 公共照明正常，设备编号有序。</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698" w:type="dxa"/>
            <w:vMerge w:val="restart"/>
            <w:vAlign w:val="center"/>
          </w:tcPr>
          <w:p>
            <w:pPr>
              <w:widowControl/>
              <w:ind w:left="315" w:hanging="315" w:hangingChars="150"/>
              <w:jc w:val="center"/>
              <w:rPr>
                <w:rFonts w:ascii="宋体" w:eastAsia="仿宋_GB2312" w:cs="宋体"/>
                <w:color w:val="000000"/>
                <w:kern w:val="0"/>
                <w:szCs w:val="21"/>
              </w:rPr>
            </w:pPr>
            <w:r>
              <w:rPr>
                <w:rFonts w:hint="eastAsia" w:ascii="宋体" w:hAnsi="宋体" w:eastAsia="仿宋_GB2312" w:cs="宋体"/>
                <w:color w:val="000000"/>
                <w:kern w:val="0"/>
                <w:szCs w:val="21"/>
              </w:rPr>
              <w:t>弱电系统管理</w:t>
            </w: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1 系统设备配置齐全、运行正常、现场测试符合要求；</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4</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一项不符合扣1分，一处不符合扣0.2分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2 系统及子系统运行、维修、保养、巡检计划周全、记录完整；</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3 楼宇智能化（消防、安防等）中央控制室实行24小时专人值班，图像、数据、记录清晰完整，并按规定保存备查；</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98" w:type="dxa"/>
            <w:vMerge w:val="continue"/>
            <w:vAlign w:val="center"/>
          </w:tcPr>
          <w:p>
            <w:pPr>
              <w:ind w:left="315" w:hanging="315" w:hangingChars="150"/>
              <w:rPr>
                <w:rFonts w:ascii="宋体" w:eastAsia="仿宋_GB2312" w:cs="宋体"/>
                <w:color w:val="000000"/>
                <w:kern w:val="0"/>
                <w:szCs w:val="21"/>
              </w:rPr>
            </w:pPr>
          </w:p>
        </w:tc>
        <w:tc>
          <w:tcPr>
            <w:tcW w:w="3641" w:type="dxa"/>
            <w:vAlign w:val="center"/>
          </w:tcPr>
          <w:p>
            <w:pPr>
              <w:spacing w:line="240" w:lineRule="exact"/>
              <w:rPr>
                <w:rFonts w:ascii="宋体" w:hAnsi="宋体" w:eastAsia="仿宋_GB2312" w:cs="宋体"/>
                <w:color w:val="000000"/>
                <w:kern w:val="0"/>
                <w:szCs w:val="21"/>
              </w:rPr>
            </w:pPr>
            <w:r>
              <w:rPr>
                <w:rFonts w:hint="eastAsia" w:ascii="宋体" w:hAnsi="宋体" w:eastAsia="仿宋_GB2312" w:cs="宋体"/>
                <w:color w:val="000000"/>
                <w:kern w:val="0"/>
                <w:szCs w:val="21"/>
              </w:rPr>
              <w:t>4 值班人员熟练掌握中控系统工作原理和操作规程，对于系统显示的设备故障和突发事件，能够及时报告报警并作好记录。</w:t>
            </w:r>
          </w:p>
        </w:tc>
        <w:tc>
          <w:tcPr>
            <w:tcW w:w="873" w:type="dxa"/>
            <w:vMerge w:val="continue"/>
            <w:vAlign w:val="center"/>
          </w:tcPr>
          <w:p>
            <w:pPr>
              <w:jc w:val="left"/>
              <w:rPr>
                <w:rFonts w:ascii="宋体" w:eastAsia="仿宋_GB2312" w:cs="宋体"/>
                <w:color w:val="000000"/>
                <w:kern w:val="0"/>
                <w:szCs w:val="21"/>
              </w:rPr>
            </w:pPr>
          </w:p>
        </w:tc>
        <w:tc>
          <w:tcPr>
            <w:tcW w:w="941" w:type="dxa"/>
            <w:vMerge w:val="continue"/>
            <w:vAlign w:val="center"/>
          </w:tcPr>
          <w:p>
            <w:pPr>
              <w:rPr>
                <w:rFonts w:ascii="宋体" w:eastAsia="仿宋_GB2312" w:cs="宋体"/>
                <w:color w:val="000000"/>
                <w:kern w:val="0"/>
                <w:szCs w:val="21"/>
              </w:rPr>
            </w:pPr>
          </w:p>
        </w:tc>
        <w:tc>
          <w:tcPr>
            <w:tcW w:w="763" w:type="dxa"/>
            <w:vMerge w:val="continue"/>
            <w:vAlign w:val="center"/>
          </w:tcPr>
          <w:p>
            <w:pPr>
              <w:rPr>
                <w:rFonts w:ascii="宋体" w:eastAsia="仿宋_GB2312" w:cs="宋体"/>
                <w:color w:val="000000"/>
                <w:kern w:val="0"/>
                <w:szCs w:val="21"/>
              </w:rPr>
            </w:pPr>
          </w:p>
        </w:tc>
        <w:tc>
          <w:tcPr>
            <w:tcW w:w="818" w:type="dxa"/>
            <w:vMerge w:val="continue"/>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98" w:type="dxa"/>
            <w:vMerge w:val="restart"/>
            <w:vAlign w:val="center"/>
          </w:tcPr>
          <w:p>
            <w:pPr>
              <w:widowControl/>
              <w:ind w:left="210" w:hanging="210" w:hangingChars="100"/>
              <w:jc w:val="center"/>
              <w:rPr>
                <w:rFonts w:ascii="宋体" w:eastAsia="仿宋_GB2312" w:cs="宋体"/>
                <w:color w:val="000000"/>
                <w:kern w:val="0"/>
                <w:szCs w:val="21"/>
              </w:rPr>
            </w:pPr>
            <w:r>
              <w:rPr>
                <w:rFonts w:hint="eastAsia" w:ascii="宋体" w:hAnsi="宋体" w:eastAsia="仿宋_GB2312" w:cs="宋体"/>
                <w:color w:val="000000"/>
                <w:kern w:val="0"/>
                <w:szCs w:val="21"/>
              </w:rPr>
              <w:t>电梯系统管理</w:t>
            </w: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1 准用（合格）证、年检证明、紧急电话和乘客注意事项置于轿厢醒目位置；</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3</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一项不符合扣0.5分，一处不符合扣0.2分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2、电梯维修保养合同规范，维保单位的资质符合规定；</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3、电梯机房通风、照明情况良好，配有平层标志线，专业工具齐全；</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400" w:lineRule="exact"/>
              <w:rPr>
                <w:rFonts w:ascii="宋体" w:eastAsia="仿宋_GB2312" w:cs="宋体"/>
                <w:color w:val="000000"/>
                <w:kern w:val="0"/>
                <w:szCs w:val="21"/>
              </w:rPr>
            </w:pPr>
            <w:r>
              <w:rPr>
                <w:rFonts w:hint="eastAsia" w:ascii="宋体" w:hAnsi="宋体" w:eastAsia="仿宋_GB2312" w:cs="宋体"/>
                <w:color w:val="000000"/>
                <w:kern w:val="0"/>
                <w:szCs w:val="21"/>
              </w:rPr>
              <w:t>4.电梯轿厢、井道内保持清洁，轿厢广告设置有序，无乱贴、乱画；</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400" w:lineRule="exact"/>
              <w:rPr>
                <w:rFonts w:ascii="宋体" w:eastAsia="仿宋_GB2312" w:cs="宋体"/>
                <w:color w:val="000000"/>
                <w:kern w:val="0"/>
                <w:szCs w:val="21"/>
              </w:rPr>
            </w:pPr>
            <w:r>
              <w:rPr>
                <w:rFonts w:hint="eastAsia" w:ascii="宋体" w:hAnsi="宋体" w:eastAsia="仿宋_GB2312" w:cs="宋体"/>
                <w:color w:val="000000"/>
                <w:kern w:val="0"/>
                <w:szCs w:val="21"/>
              </w:rPr>
              <w:t>5、电梯运行平稳，维修、保养、检修记录完整；</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400" w:lineRule="exact"/>
              <w:rPr>
                <w:rFonts w:ascii="宋体" w:eastAsia="仿宋_GB2312" w:cs="宋体"/>
                <w:color w:val="000000"/>
                <w:kern w:val="0"/>
                <w:szCs w:val="21"/>
              </w:rPr>
            </w:pPr>
            <w:r>
              <w:rPr>
                <w:rFonts w:hint="eastAsia" w:ascii="宋体" w:hAnsi="宋体" w:eastAsia="仿宋_GB2312" w:cs="宋体"/>
                <w:color w:val="000000"/>
                <w:kern w:val="0"/>
                <w:szCs w:val="21"/>
              </w:rPr>
              <w:t>6、电梯按合同约定时间运行，出现故障或险情，维修人员接到报修后20分钟内到达现场。</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8" w:type="dxa"/>
            <w:vMerge w:val="restart"/>
            <w:vAlign w:val="center"/>
          </w:tcPr>
          <w:p>
            <w:pPr>
              <w:widowControl/>
              <w:ind w:left="105" w:hanging="105" w:hangingChars="50"/>
              <w:rPr>
                <w:rFonts w:ascii="宋体" w:eastAsia="仿宋_GB2312" w:cs="宋体"/>
                <w:color w:val="000000"/>
                <w:kern w:val="0"/>
                <w:szCs w:val="21"/>
              </w:rPr>
            </w:pPr>
            <w:r>
              <w:rPr>
                <w:rFonts w:hint="eastAsia" w:ascii="宋体" w:hAnsi="宋体" w:eastAsia="仿宋_GB2312" w:cs="宋体"/>
                <w:color w:val="000000"/>
                <w:kern w:val="0"/>
                <w:szCs w:val="21"/>
              </w:rPr>
              <w:t>给排水系统管理</w:t>
            </w: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1 二次供水水质定期检测，符合卫生标准；</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3</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一项不符合扣0.5分，一处不符合扣0.2分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2 供水及中水系统设备完好、运行正常，日检查和月、季、年保养制度完善；</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3 排水系统通畅，汛期道路、地下室、设备室及地下车库无积水和浸泡现象；</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4 水箱加盖上锁，周边无污染源，定期清洗、消毒，检查记录完整；</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5 水泵、阀门、管网等设备名称、流向、运行状态标志清晰，无锈蚀、无跑冒滴漏、无污染；</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6 临时停水事先通知客户，并实施应急供水方案。</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8" w:type="dxa"/>
            <w:vMerge w:val="restart"/>
            <w:vAlign w:val="center"/>
          </w:tcPr>
          <w:p>
            <w:pPr>
              <w:widowControl/>
              <w:ind w:left="210" w:hanging="210" w:hangingChars="100"/>
              <w:jc w:val="center"/>
              <w:rPr>
                <w:rFonts w:ascii="宋体" w:eastAsia="仿宋_GB2312" w:cs="宋体"/>
                <w:color w:val="000000"/>
                <w:kern w:val="0"/>
                <w:szCs w:val="21"/>
              </w:rPr>
            </w:pPr>
            <w:r>
              <w:rPr>
                <w:rFonts w:hint="eastAsia" w:ascii="宋体" w:hAnsi="宋体" w:eastAsia="仿宋_GB2312" w:cs="宋体"/>
                <w:color w:val="000000"/>
                <w:kern w:val="0"/>
                <w:szCs w:val="21"/>
              </w:rPr>
              <w:t>避雷系统管理</w:t>
            </w: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1 配置避雷设施位置平面图；</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1</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一项不符合扣0.5分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2 避雷设施定期检查、维护，记录完整。</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8" w:type="dxa"/>
            <w:vMerge w:val="restart"/>
            <w:vAlign w:val="center"/>
          </w:tcPr>
          <w:p>
            <w:pPr>
              <w:widowControl/>
              <w:ind w:left="210" w:hanging="210" w:hangingChars="100"/>
              <w:jc w:val="center"/>
              <w:rPr>
                <w:rFonts w:ascii="宋体" w:eastAsia="仿宋_GB2312" w:cs="宋体"/>
                <w:color w:val="000000"/>
                <w:kern w:val="0"/>
                <w:szCs w:val="21"/>
              </w:rPr>
            </w:pPr>
            <w:r>
              <w:rPr>
                <w:rFonts w:hint="eastAsia" w:ascii="宋体" w:hAnsi="宋体" w:eastAsia="仿宋_GB2312" w:cs="宋体"/>
                <w:color w:val="000000"/>
                <w:kern w:val="0"/>
                <w:szCs w:val="21"/>
              </w:rPr>
              <w:t>消防系统管理</w:t>
            </w: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1 设施设置平面图、火警疏散示意图按幢设置在楼层明显位置；</w:t>
            </w:r>
          </w:p>
        </w:tc>
        <w:tc>
          <w:tcPr>
            <w:tcW w:w="873" w:type="dxa"/>
            <w:vMerge w:val="restart"/>
            <w:vAlign w:val="center"/>
          </w:tcPr>
          <w:p>
            <w:pPr>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4</w:t>
            </w:r>
          </w:p>
        </w:tc>
        <w:tc>
          <w:tcPr>
            <w:tcW w:w="941" w:type="dxa"/>
            <w:vMerge w:val="restart"/>
            <w:vAlign w:val="center"/>
          </w:tcPr>
          <w:p>
            <w:pPr>
              <w:rPr>
                <w:rFonts w:ascii="宋体" w:eastAsia="仿宋_GB2312" w:cs="宋体"/>
                <w:color w:val="000000"/>
                <w:kern w:val="0"/>
                <w:szCs w:val="21"/>
              </w:rPr>
            </w:pPr>
            <w:r>
              <w:rPr>
                <w:rFonts w:hint="eastAsia" w:ascii="宋体" w:hAnsi="宋体" w:eastAsia="仿宋_GB2312" w:cs="宋体"/>
                <w:color w:val="000000"/>
                <w:kern w:val="0"/>
                <w:szCs w:val="21"/>
              </w:rPr>
              <w:t>一项不符合扣0.5分，一处不符合扣0.2分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8" w:type="dxa"/>
            <w:vMerge w:val="continue"/>
            <w:vAlign w:val="center"/>
          </w:tcPr>
          <w:p>
            <w:pPr>
              <w:ind w:left="210" w:hanging="210" w:hangingChars="100"/>
              <w:rPr>
                <w:rFonts w:ascii="宋体" w:hAnsi="宋体" w:eastAsia="仿宋_GB2312" w:cs="宋体"/>
                <w:color w:val="000000"/>
                <w:kern w:val="0"/>
                <w:szCs w:val="21"/>
              </w:rPr>
            </w:pPr>
          </w:p>
        </w:tc>
        <w:tc>
          <w:tcPr>
            <w:tcW w:w="3641" w:type="dxa"/>
            <w:vAlign w:val="center"/>
          </w:tcPr>
          <w:p>
            <w:pPr>
              <w:spacing w:line="280" w:lineRule="exact"/>
              <w:rPr>
                <w:rFonts w:ascii="宋体" w:hAnsi="宋体" w:eastAsia="仿宋_GB2312" w:cs="宋体"/>
                <w:color w:val="000000"/>
                <w:kern w:val="0"/>
                <w:szCs w:val="21"/>
              </w:rPr>
            </w:pPr>
            <w:r>
              <w:rPr>
                <w:rFonts w:hint="eastAsia" w:ascii="宋体" w:hAnsi="宋体" w:eastAsia="仿宋_GB2312" w:cs="宋体"/>
                <w:color w:val="000000"/>
                <w:kern w:val="0"/>
                <w:szCs w:val="21"/>
              </w:rPr>
              <w:t>2 消防监控系统运行良好，自动和手动火灾报警设施启动正常；</w:t>
            </w:r>
          </w:p>
        </w:tc>
        <w:tc>
          <w:tcPr>
            <w:tcW w:w="873" w:type="dxa"/>
            <w:vMerge w:val="continue"/>
            <w:vAlign w:val="center"/>
          </w:tcPr>
          <w:p>
            <w:pPr>
              <w:jc w:val="left"/>
              <w:rPr>
                <w:rFonts w:ascii="宋体" w:hAnsi="宋体" w:eastAsia="仿宋_GB2312" w:cs="宋体"/>
                <w:color w:val="000000"/>
                <w:kern w:val="0"/>
                <w:szCs w:val="21"/>
              </w:rPr>
            </w:pPr>
          </w:p>
        </w:tc>
        <w:tc>
          <w:tcPr>
            <w:tcW w:w="941" w:type="dxa"/>
            <w:vMerge w:val="continue"/>
            <w:vAlign w:val="center"/>
          </w:tcPr>
          <w:p>
            <w:pPr>
              <w:rPr>
                <w:rFonts w:ascii="宋体" w:eastAsia="仿宋_GB2312" w:cs="宋体"/>
                <w:color w:val="000000"/>
                <w:kern w:val="0"/>
                <w:szCs w:val="21"/>
              </w:rPr>
            </w:pPr>
          </w:p>
        </w:tc>
        <w:tc>
          <w:tcPr>
            <w:tcW w:w="763" w:type="dxa"/>
            <w:vMerge w:val="continue"/>
            <w:vAlign w:val="center"/>
          </w:tcPr>
          <w:p>
            <w:pPr>
              <w:rPr>
                <w:rFonts w:ascii="宋体" w:eastAsia="仿宋_GB2312" w:cs="宋体"/>
                <w:color w:val="000000"/>
                <w:kern w:val="0"/>
                <w:szCs w:val="21"/>
              </w:rPr>
            </w:pPr>
          </w:p>
        </w:tc>
        <w:tc>
          <w:tcPr>
            <w:tcW w:w="818" w:type="dxa"/>
            <w:vMerge w:val="continue"/>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8" w:type="dxa"/>
            <w:vMerge w:val="continue"/>
            <w:vAlign w:val="center"/>
          </w:tcPr>
          <w:p>
            <w:pPr>
              <w:widowControl/>
              <w:jc w:val="left"/>
              <w:rPr>
                <w:rFonts w:ascii="宋体" w:hAns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3 消防自动喷淋灭火系统、气体灭火系统能够正常启用；</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8" w:type="dxa"/>
            <w:vMerge w:val="continue"/>
            <w:vAlign w:val="center"/>
          </w:tcPr>
          <w:p>
            <w:pPr>
              <w:widowControl/>
              <w:jc w:val="left"/>
              <w:rPr>
                <w:rFonts w:ascii="宋体" w:hAns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4 消防正压送风、防排烟系统能够正常启用；</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8" w:type="dxa"/>
            <w:vMerge w:val="continue"/>
            <w:vAlign w:val="center"/>
          </w:tcPr>
          <w:p>
            <w:pPr>
              <w:widowControl/>
              <w:jc w:val="left"/>
              <w:rPr>
                <w:rFonts w:ascii="宋体" w:hAns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5 消火栓柜、防火卷帘、防火门、灭火器、疏散指示灯、应急灯及应急工具等消防设施设备完好，并定期组织检验、保养；</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8" w:type="dxa"/>
            <w:vMerge w:val="continue"/>
            <w:vAlign w:val="center"/>
          </w:tcPr>
          <w:p>
            <w:pPr>
              <w:widowControl/>
              <w:jc w:val="left"/>
              <w:rPr>
                <w:rFonts w:ascii="宋体" w:hAns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6 消防水泵、管网、闸门等设备运行正常，测试、维修、保养记录完整；</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8" w:type="dxa"/>
            <w:vMerge w:val="continue"/>
            <w:vAlign w:val="center"/>
          </w:tcPr>
          <w:p>
            <w:pPr>
              <w:widowControl/>
              <w:jc w:val="left"/>
              <w:rPr>
                <w:rFonts w:ascii="宋体" w:hAns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7 安全疏散通道畅通，疏散标志和示意图设置合理、醒目；</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98" w:type="dxa"/>
            <w:vMerge w:val="continue"/>
            <w:vAlign w:val="center"/>
          </w:tcPr>
          <w:p>
            <w:pPr>
              <w:widowControl/>
              <w:jc w:val="left"/>
              <w:rPr>
                <w:rFonts w:ascii="宋体" w:hAns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8 区域消防通道畅通，无杂物堆放，无违章占用。</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restart"/>
            <w:vAlign w:val="center"/>
          </w:tcPr>
          <w:p>
            <w:pPr>
              <w:widowControl/>
              <w:ind w:left="210" w:hanging="210" w:hangingChars="100"/>
              <w:jc w:val="center"/>
              <w:rPr>
                <w:rFonts w:ascii="宋体" w:eastAsia="仿宋_GB2312" w:cs="宋体"/>
                <w:color w:val="000000"/>
                <w:kern w:val="0"/>
                <w:szCs w:val="21"/>
              </w:rPr>
            </w:pPr>
            <w:r>
              <w:rPr>
                <w:rFonts w:hint="eastAsia" w:ascii="宋体" w:hAnsi="宋体" w:eastAsia="仿宋_GB2312" w:cs="宋体"/>
                <w:color w:val="000000"/>
                <w:kern w:val="0"/>
                <w:szCs w:val="21"/>
              </w:rPr>
              <w:t>空调系统管理</w:t>
            </w: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1 空调系统运行正常，水质符合标准；</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3</w:t>
            </w:r>
          </w:p>
          <w:p>
            <w:pPr>
              <w:widowControl/>
              <w:jc w:val="left"/>
              <w:rPr>
                <w:rFonts w:ascii="宋体" w:eastAsia="仿宋_GB2312" w:cs="宋体"/>
                <w:color w:val="000000"/>
                <w:kern w:val="0"/>
                <w:szCs w:val="21"/>
              </w:rPr>
            </w:pPr>
          </w:p>
        </w:tc>
        <w:tc>
          <w:tcPr>
            <w:tcW w:w="941" w:type="dxa"/>
            <w:vMerge w:val="restart"/>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一项不符合扣0.5分，一处不符合扣0.2分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2 冷却塔运行正常，噪声符合规范要求；</w:t>
            </w:r>
          </w:p>
        </w:tc>
        <w:tc>
          <w:tcPr>
            <w:tcW w:w="873" w:type="dxa"/>
            <w:vMerge w:val="continue"/>
            <w:vAlign w:val="center"/>
          </w:tcPr>
          <w:p>
            <w:pPr>
              <w:widowControl/>
              <w:jc w:val="left"/>
              <w:rPr>
                <w:rFonts w:ascii="宋体" w:eastAsia="仿宋_GB2312" w:cs="宋体"/>
                <w:color w:val="000000"/>
                <w:kern w:val="0"/>
                <w:szCs w:val="21"/>
              </w:rPr>
            </w:pPr>
          </w:p>
        </w:tc>
        <w:tc>
          <w:tcPr>
            <w:tcW w:w="941" w:type="dxa"/>
            <w:vMerge w:val="continue"/>
            <w:vAlign w:val="center"/>
          </w:tcPr>
          <w:p>
            <w:pPr>
              <w:widowControl/>
              <w:spacing w:line="240" w:lineRule="exact"/>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3 空调管道、阀件及仪表完好，无跑、冒、滴、漏现象；</w:t>
            </w:r>
          </w:p>
        </w:tc>
        <w:tc>
          <w:tcPr>
            <w:tcW w:w="873" w:type="dxa"/>
            <w:vMerge w:val="continue"/>
            <w:vAlign w:val="center"/>
          </w:tcPr>
          <w:p>
            <w:pPr>
              <w:widowControl/>
              <w:jc w:val="left"/>
              <w:rPr>
                <w:rFonts w:ascii="宋体" w:eastAsia="仿宋_GB2312" w:cs="宋体"/>
                <w:color w:val="000000"/>
                <w:kern w:val="0"/>
                <w:szCs w:val="21"/>
              </w:rPr>
            </w:pPr>
          </w:p>
        </w:tc>
        <w:tc>
          <w:tcPr>
            <w:tcW w:w="941" w:type="dxa"/>
            <w:vMerge w:val="continue"/>
            <w:vAlign w:val="center"/>
          </w:tcPr>
          <w:p>
            <w:pPr>
              <w:widowControl/>
              <w:spacing w:line="240" w:lineRule="exact"/>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4 空调系统日常巡查、维修、养护工作符合技术规范要求；</w:t>
            </w:r>
          </w:p>
        </w:tc>
        <w:tc>
          <w:tcPr>
            <w:tcW w:w="873" w:type="dxa"/>
            <w:vMerge w:val="continue"/>
            <w:vAlign w:val="center"/>
          </w:tcPr>
          <w:p>
            <w:pPr>
              <w:widowControl/>
              <w:jc w:val="left"/>
              <w:rPr>
                <w:rFonts w:ascii="宋体" w:eastAsia="仿宋_GB2312" w:cs="宋体"/>
                <w:color w:val="000000"/>
                <w:kern w:val="0"/>
                <w:szCs w:val="21"/>
              </w:rPr>
            </w:pPr>
          </w:p>
        </w:tc>
        <w:tc>
          <w:tcPr>
            <w:tcW w:w="941" w:type="dxa"/>
            <w:vMerge w:val="continue"/>
            <w:vAlign w:val="center"/>
          </w:tcPr>
          <w:p>
            <w:pPr>
              <w:widowControl/>
              <w:spacing w:line="240" w:lineRule="exact"/>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5 新风、送排风系统运行正常，消毒管道和过滤装置定期清洗，符合规范要求；</w:t>
            </w:r>
          </w:p>
        </w:tc>
        <w:tc>
          <w:tcPr>
            <w:tcW w:w="873" w:type="dxa"/>
            <w:vMerge w:val="continue"/>
            <w:vAlign w:val="center"/>
          </w:tcPr>
          <w:p>
            <w:pPr>
              <w:widowControl/>
              <w:jc w:val="left"/>
              <w:rPr>
                <w:rFonts w:ascii="宋体" w:eastAsia="仿宋_GB2312" w:cs="宋体"/>
                <w:color w:val="000000"/>
                <w:kern w:val="0"/>
                <w:szCs w:val="21"/>
              </w:rPr>
            </w:pPr>
          </w:p>
        </w:tc>
        <w:tc>
          <w:tcPr>
            <w:tcW w:w="941" w:type="dxa"/>
            <w:vMerge w:val="continue"/>
            <w:vAlign w:val="center"/>
          </w:tcPr>
          <w:p>
            <w:pPr>
              <w:widowControl/>
              <w:spacing w:line="240" w:lineRule="exact"/>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6空调系统出现故障，维护人员接到报修后20分钟内到达现场检修。</w:t>
            </w:r>
          </w:p>
        </w:tc>
        <w:tc>
          <w:tcPr>
            <w:tcW w:w="873" w:type="dxa"/>
            <w:vMerge w:val="continue"/>
            <w:vAlign w:val="center"/>
          </w:tcPr>
          <w:p>
            <w:pPr>
              <w:widowControl/>
              <w:jc w:val="left"/>
              <w:rPr>
                <w:rFonts w:ascii="宋体" w:eastAsia="仿宋_GB2312" w:cs="宋体"/>
                <w:color w:val="000000"/>
                <w:kern w:val="0"/>
                <w:szCs w:val="21"/>
              </w:rPr>
            </w:pPr>
          </w:p>
        </w:tc>
        <w:tc>
          <w:tcPr>
            <w:tcW w:w="941" w:type="dxa"/>
            <w:vMerge w:val="continue"/>
            <w:vAlign w:val="center"/>
          </w:tcPr>
          <w:p>
            <w:pPr>
              <w:widowControl/>
              <w:spacing w:line="240" w:lineRule="exact"/>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39" w:type="dxa"/>
            <w:gridSpan w:val="2"/>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四、公共秩序维护</w:t>
            </w:r>
          </w:p>
        </w:tc>
        <w:tc>
          <w:tcPr>
            <w:tcW w:w="873" w:type="dxa"/>
            <w:vAlign w:val="center"/>
          </w:tcPr>
          <w:p>
            <w:pPr>
              <w:widowControl/>
              <w:ind w:firstLine="105" w:firstLineChars="50"/>
              <w:jc w:val="left"/>
              <w:rPr>
                <w:rFonts w:ascii="宋体" w:hAnsi="宋体" w:eastAsia="仿宋_GB2312" w:cs="宋体"/>
                <w:color w:val="000000"/>
                <w:kern w:val="0"/>
                <w:szCs w:val="21"/>
              </w:rPr>
            </w:pPr>
            <w:r>
              <w:rPr>
                <w:rFonts w:hint="eastAsia" w:ascii="宋体" w:hAnsi="宋体" w:eastAsia="仿宋_GB2312" w:cs="宋体"/>
                <w:color w:val="000000"/>
                <w:kern w:val="0"/>
                <w:szCs w:val="21"/>
              </w:rPr>
              <w:t>12</w:t>
            </w:r>
          </w:p>
        </w:tc>
        <w:tc>
          <w:tcPr>
            <w:tcW w:w="941" w:type="dxa"/>
            <w:vAlign w:val="center"/>
          </w:tcPr>
          <w:p>
            <w:pPr>
              <w:widowControl/>
              <w:spacing w:line="240" w:lineRule="exact"/>
              <w:rPr>
                <w:rFonts w:ascii="宋体" w:hAnsi="宋体" w:eastAsia="仿宋_GB2312" w:cs="宋体"/>
                <w:color w:val="000000"/>
                <w:kern w:val="0"/>
                <w:szCs w:val="21"/>
              </w:rPr>
            </w:pPr>
          </w:p>
        </w:tc>
        <w:tc>
          <w:tcPr>
            <w:tcW w:w="763" w:type="dxa"/>
            <w:vAlign w:val="center"/>
          </w:tcPr>
          <w:p>
            <w:pPr>
              <w:widowControl/>
              <w:rPr>
                <w:rFonts w:ascii="宋体" w:hAnsi="宋体" w:eastAsia="仿宋_GB2312" w:cs="宋体"/>
                <w:color w:val="000000"/>
                <w:kern w:val="0"/>
                <w:szCs w:val="21"/>
              </w:rPr>
            </w:pPr>
          </w:p>
        </w:tc>
        <w:tc>
          <w:tcPr>
            <w:tcW w:w="818" w:type="dxa"/>
            <w:vAlign w:val="center"/>
          </w:tcPr>
          <w:p>
            <w:pPr>
              <w:widowControl/>
              <w:rPr>
                <w:rFonts w:ascii="宋体"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restart"/>
            <w:vAlign w:val="center"/>
          </w:tcPr>
          <w:p>
            <w:pPr>
              <w:widowControl/>
              <w:ind w:left="315" w:hanging="315" w:hangingChars="150"/>
              <w:jc w:val="center"/>
              <w:rPr>
                <w:rFonts w:ascii="宋体" w:eastAsia="仿宋_GB2312" w:cs="宋体"/>
                <w:color w:val="000000"/>
                <w:kern w:val="0"/>
                <w:szCs w:val="21"/>
              </w:rPr>
            </w:pPr>
            <w:r>
              <w:rPr>
                <w:rFonts w:hint="eastAsia" w:ascii="宋体" w:hAnsi="宋体" w:eastAsia="仿宋_GB2312" w:cs="宋体"/>
                <w:color w:val="000000"/>
                <w:kern w:val="0"/>
                <w:szCs w:val="21"/>
              </w:rPr>
              <w:t>秩序维护管理</w:t>
            </w:r>
          </w:p>
        </w:tc>
        <w:tc>
          <w:tcPr>
            <w:tcW w:w="3641" w:type="dxa"/>
            <w:vAlign w:val="center"/>
          </w:tcPr>
          <w:p>
            <w:pPr>
              <w:widowControl/>
              <w:spacing w:line="340" w:lineRule="exact"/>
              <w:rPr>
                <w:rFonts w:ascii="宋体" w:eastAsia="仿宋_GB2312" w:cs="宋体"/>
                <w:color w:val="000000"/>
                <w:kern w:val="0"/>
                <w:szCs w:val="21"/>
              </w:rPr>
            </w:pPr>
            <w:r>
              <w:rPr>
                <w:rFonts w:hint="eastAsia" w:ascii="宋体" w:hAnsi="宋体" w:eastAsia="仿宋_GB2312" w:cs="宋体"/>
                <w:color w:val="000000"/>
                <w:kern w:val="0"/>
                <w:szCs w:val="21"/>
              </w:rPr>
              <w:t>1 制定符合项目特点的秩序维护方案；</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5</w:t>
            </w:r>
          </w:p>
        </w:tc>
        <w:tc>
          <w:tcPr>
            <w:tcW w:w="941" w:type="dxa"/>
            <w:vMerge w:val="restart"/>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一项不符合扣1分，一处不符合扣0.2分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40" w:lineRule="exact"/>
              <w:rPr>
                <w:rFonts w:ascii="宋体" w:eastAsia="仿宋_GB2312" w:cs="宋体"/>
                <w:color w:val="000000"/>
                <w:kern w:val="0"/>
                <w:szCs w:val="21"/>
              </w:rPr>
            </w:pPr>
            <w:r>
              <w:rPr>
                <w:rFonts w:hint="eastAsia" w:ascii="宋体" w:hAnsi="宋体" w:eastAsia="仿宋_GB2312" w:cs="宋体"/>
                <w:color w:val="000000"/>
                <w:kern w:val="0"/>
                <w:szCs w:val="21"/>
              </w:rPr>
              <w:t>2 秩序维护人员配置合理，岗位责任明确，巡更路线清晰；</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spacing w:line="240" w:lineRule="exact"/>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40" w:lineRule="exact"/>
              <w:rPr>
                <w:rFonts w:ascii="宋体" w:eastAsia="仿宋_GB2312" w:cs="宋体"/>
                <w:color w:val="000000"/>
                <w:kern w:val="0"/>
                <w:szCs w:val="21"/>
              </w:rPr>
            </w:pPr>
            <w:r>
              <w:rPr>
                <w:rFonts w:hint="eastAsia" w:ascii="宋体" w:hAnsi="宋体" w:eastAsia="仿宋_GB2312" w:cs="宋体"/>
                <w:color w:val="000000"/>
                <w:kern w:val="0"/>
                <w:szCs w:val="21"/>
              </w:rPr>
              <w:t>3 监控设施和门禁系统运行良好，监控记录保存符合规定要求；</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spacing w:line="240" w:lineRule="exact"/>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ind w:left="315" w:hanging="315" w:hangingChars="150"/>
              <w:rPr>
                <w:rFonts w:ascii="宋体" w:eastAsia="仿宋_GB2312" w:cs="宋体"/>
                <w:color w:val="000000"/>
                <w:kern w:val="0"/>
                <w:szCs w:val="21"/>
              </w:rPr>
            </w:pPr>
          </w:p>
        </w:tc>
        <w:tc>
          <w:tcPr>
            <w:tcW w:w="3641" w:type="dxa"/>
            <w:vAlign w:val="center"/>
          </w:tcPr>
          <w:p>
            <w:pPr>
              <w:spacing w:line="340" w:lineRule="exact"/>
              <w:rPr>
                <w:rFonts w:ascii="宋体" w:hAnsi="宋体" w:eastAsia="仿宋_GB2312" w:cs="宋体"/>
                <w:color w:val="000000"/>
                <w:kern w:val="0"/>
                <w:szCs w:val="21"/>
              </w:rPr>
            </w:pPr>
            <w:r>
              <w:rPr>
                <w:rFonts w:hint="eastAsia" w:ascii="宋体" w:hAnsi="宋体" w:eastAsia="仿宋_GB2312" w:cs="宋体"/>
                <w:color w:val="000000"/>
                <w:kern w:val="0"/>
                <w:szCs w:val="21"/>
              </w:rPr>
              <w:t>4 安全监控室及主出入口实行24小时值班，对外来人员、车辆和物品进出实行管理；</w:t>
            </w:r>
          </w:p>
        </w:tc>
        <w:tc>
          <w:tcPr>
            <w:tcW w:w="873" w:type="dxa"/>
            <w:vMerge w:val="continue"/>
            <w:vAlign w:val="center"/>
          </w:tcPr>
          <w:p>
            <w:pPr>
              <w:jc w:val="left"/>
              <w:rPr>
                <w:rFonts w:ascii="宋体" w:eastAsia="仿宋_GB2312" w:cs="宋体"/>
                <w:color w:val="000000"/>
                <w:kern w:val="0"/>
                <w:szCs w:val="21"/>
              </w:rPr>
            </w:pPr>
          </w:p>
        </w:tc>
        <w:tc>
          <w:tcPr>
            <w:tcW w:w="941" w:type="dxa"/>
            <w:vMerge w:val="continue"/>
            <w:vAlign w:val="center"/>
          </w:tcPr>
          <w:p>
            <w:pPr>
              <w:spacing w:line="240" w:lineRule="exact"/>
              <w:rPr>
                <w:rFonts w:ascii="宋体" w:eastAsia="仿宋_GB2312" w:cs="宋体"/>
                <w:color w:val="000000"/>
                <w:kern w:val="0"/>
                <w:szCs w:val="21"/>
              </w:rPr>
            </w:pPr>
          </w:p>
        </w:tc>
        <w:tc>
          <w:tcPr>
            <w:tcW w:w="763" w:type="dxa"/>
            <w:vMerge w:val="continue"/>
            <w:vAlign w:val="center"/>
          </w:tcPr>
          <w:p>
            <w:pPr>
              <w:rPr>
                <w:rFonts w:ascii="宋体" w:eastAsia="仿宋_GB2312" w:cs="宋体"/>
                <w:color w:val="000000"/>
                <w:kern w:val="0"/>
                <w:szCs w:val="21"/>
              </w:rPr>
            </w:pPr>
          </w:p>
        </w:tc>
        <w:tc>
          <w:tcPr>
            <w:tcW w:w="818" w:type="dxa"/>
            <w:vMerge w:val="continue"/>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340" w:lineRule="exact"/>
              <w:rPr>
                <w:rFonts w:ascii="宋体" w:eastAsia="仿宋_GB2312" w:cs="宋体"/>
                <w:color w:val="000000"/>
                <w:kern w:val="0"/>
                <w:szCs w:val="21"/>
              </w:rPr>
            </w:pPr>
            <w:r>
              <w:rPr>
                <w:rFonts w:hint="eastAsia" w:ascii="宋体" w:hAnsi="宋体" w:eastAsia="仿宋_GB2312" w:cs="宋体"/>
                <w:color w:val="000000"/>
                <w:kern w:val="0"/>
                <w:szCs w:val="21"/>
              </w:rPr>
              <w:t>5 安全标志设置合理，对可能危及人身安全的地点和设施设备，有明显警示标志和防范措施。</w:t>
            </w:r>
          </w:p>
        </w:tc>
        <w:tc>
          <w:tcPr>
            <w:tcW w:w="873" w:type="dxa"/>
            <w:vMerge w:val="continue"/>
            <w:vAlign w:val="center"/>
          </w:tcPr>
          <w:p>
            <w:pPr>
              <w:widowControl/>
              <w:jc w:val="left"/>
              <w:rPr>
                <w:rFonts w:ascii="宋体" w:eastAsia="仿宋_GB2312" w:cs="宋体"/>
                <w:color w:val="000000"/>
                <w:kern w:val="0"/>
                <w:szCs w:val="21"/>
              </w:rPr>
            </w:pPr>
          </w:p>
        </w:tc>
        <w:tc>
          <w:tcPr>
            <w:tcW w:w="941" w:type="dxa"/>
            <w:vMerge w:val="continue"/>
            <w:vAlign w:val="center"/>
          </w:tcPr>
          <w:p>
            <w:pPr>
              <w:widowControl/>
              <w:spacing w:line="240" w:lineRule="exact"/>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restart"/>
            <w:vAlign w:val="center"/>
          </w:tcPr>
          <w:p>
            <w:pPr>
              <w:widowControl/>
              <w:ind w:left="315" w:hanging="315" w:hangingChars="150"/>
              <w:jc w:val="center"/>
              <w:rPr>
                <w:rFonts w:ascii="宋体" w:eastAsia="仿宋_GB2312" w:cs="宋体"/>
                <w:color w:val="000000"/>
                <w:kern w:val="0"/>
                <w:szCs w:val="21"/>
              </w:rPr>
            </w:pPr>
            <w:r>
              <w:rPr>
                <w:rFonts w:hint="eastAsia" w:ascii="宋体" w:hAnsi="宋体" w:eastAsia="仿宋_GB2312" w:cs="宋体"/>
                <w:color w:val="000000"/>
                <w:kern w:val="0"/>
                <w:szCs w:val="21"/>
              </w:rPr>
              <w:t>交通秩序管理</w:t>
            </w: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1 公示停车场管理规定和停车收费标准和紧急联系电话；</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4</w:t>
            </w:r>
          </w:p>
        </w:tc>
        <w:tc>
          <w:tcPr>
            <w:tcW w:w="941" w:type="dxa"/>
            <w:vMerge w:val="restart"/>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一项不符合扣0.5分，一处不符合扣0.2分</w:t>
            </w:r>
          </w:p>
        </w:tc>
        <w:tc>
          <w:tcPr>
            <w:tcW w:w="763" w:type="dxa"/>
            <w:vMerge w:val="restart"/>
            <w:vAlign w:val="center"/>
          </w:tcPr>
          <w:p>
            <w:pPr>
              <w:widowControl/>
              <w:rPr>
                <w:rFonts w:ascii="宋体" w:eastAsia="仿宋_GB2312" w:cs="宋体"/>
                <w:color w:val="000000"/>
                <w:kern w:val="0"/>
                <w:szCs w:val="21"/>
              </w:rPr>
            </w:pPr>
          </w:p>
          <w:p>
            <w:pPr>
              <w:widowControl/>
              <w:rPr>
                <w:rFonts w:ascii="宋体" w:eastAsia="仿宋_GB2312" w:cs="宋体"/>
                <w:color w:val="000000"/>
                <w:kern w:val="0"/>
                <w:szCs w:val="21"/>
              </w:rPr>
            </w:pPr>
          </w:p>
        </w:tc>
        <w:tc>
          <w:tcPr>
            <w:tcW w:w="818" w:type="dxa"/>
            <w:vMerge w:val="restart"/>
            <w:vAlign w:val="center"/>
          </w:tcPr>
          <w:p>
            <w:pPr>
              <w:widowControl/>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2 停车场、停车位标志规范、清晰，车辆行驶路线设置合理、路线清晰；</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3 固定停放车辆签订停车服务协议，明确相关权利义务；</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4 车辆进出发出入证，登记及时，记录完整；</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5 车辆进出道闸、立体停车设施运行良好，维修养护及时</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6 机动、非机动车辆停放有序、无乱停乱放现象；</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7 停车场、库定时巡视检查，高峰时进行车辆秩序引导；</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8 发现交通堵塞及时疏导，发生交通事故及时报告有关部门。</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8" w:type="dxa"/>
            <w:vMerge w:val="restart"/>
            <w:vAlign w:val="center"/>
          </w:tcPr>
          <w:p>
            <w:pPr>
              <w:widowControl/>
              <w:ind w:left="210" w:hanging="210" w:hangingChars="100"/>
              <w:jc w:val="center"/>
              <w:rPr>
                <w:rFonts w:ascii="宋体" w:eastAsia="仿宋_GB2312" w:cs="宋体"/>
                <w:color w:val="000000"/>
                <w:kern w:val="0"/>
                <w:szCs w:val="21"/>
              </w:rPr>
            </w:pPr>
            <w:r>
              <w:rPr>
                <w:rFonts w:hint="eastAsia" w:ascii="宋体" w:hAnsi="宋体" w:eastAsia="仿宋_GB2312" w:cs="宋体"/>
                <w:color w:val="000000"/>
                <w:kern w:val="0"/>
                <w:szCs w:val="21"/>
              </w:rPr>
              <w:t>消防安全管理</w:t>
            </w: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1 制定消防安全制度，消防安全操作规程；</w:t>
            </w:r>
          </w:p>
        </w:tc>
        <w:tc>
          <w:tcPr>
            <w:tcW w:w="873" w:type="dxa"/>
            <w:vMerge w:val="restart"/>
            <w:vAlign w:val="center"/>
          </w:tcPr>
          <w:p>
            <w:pPr>
              <w:widowControl/>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3</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一项不符合扣0.5分，一处不符合扣0.2分</w:t>
            </w:r>
          </w:p>
        </w:tc>
        <w:tc>
          <w:tcPr>
            <w:tcW w:w="763"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　</w:t>
            </w:r>
          </w:p>
          <w:p>
            <w:pPr>
              <w:widowControl/>
              <w:rPr>
                <w:rFonts w:ascii="宋体" w:eastAsia="仿宋_GB2312" w:cs="宋体"/>
                <w:color w:val="000000"/>
                <w:kern w:val="0"/>
                <w:szCs w:val="21"/>
              </w:rPr>
            </w:pPr>
            <w:r>
              <w:rPr>
                <w:rFonts w:hint="eastAsia" w:ascii="宋体" w:hAnsi="宋体" w:eastAsia="仿宋_GB2312" w:cs="宋体"/>
                <w:color w:val="000000"/>
                <w:kern w:val="0"/>
                <w:szCs w:val="21"/>
              </w:rPr>
              <w:t>　</w:t>
            </w:r>
          </w:p>
        </w:tc>
        <w:tc>
          <w:tcPr>
            <w:tcW w:w="818"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2 实行防火安全责任制，明确消防安全责任人；</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3 消防应急广播正常，随时可用。</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4 消防安全定期巡视检查，消防安全隐患及时整改；</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5 定期开展消防安全宣传，进行消防知识培训；</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280" w:lineRule="exact"/>
              <w:rPr>
                <w:rFonts w:ascii="宋体" w:eastAsia="仿宋_GB2312" w:cs="宋体"/>
                <w:color w:val="000000"/>
                <w:kern w:val="0"/>
                <w:szCs w:val="21"/>
              </w:rPr>
            </w:pPr>
            <w:r>
              <w:rPr>
                <w:rFonts w:hint="eastAsia" w:ascii="宋体" w:hAnsi="宋体" w:eastAsia="仿宋_GB2312" w:cs="宋体"/>
                <w:color w:val="000000"/>
                <w:kern w:val="0"/>
                <w:szCs w:val="21"/>
              </w:rPr>
              <w:t>6 消防演练每年不少于两次，积极动员业主及使用人参与。</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339" w:type="dxa"/>
            <w:gridSpan w:val="2"/>
            <w:vAlign w:val="center"/>
          </w:tcPr>
          <w:p>
            <w:pPr>
              <w:widowControl/>
              <w:spacing w:line="300" w:lineRule="exact"/>
              <w:rPr>
                <w:rFonts w:ascii="宋体" w:hAnsi="宋体" w:eastAsia="仿宋_GB2312" w:cs="宋体"/>
                <w:color w:val="000000"/>
                <w:kern w:val="0"/>
                <w:szCs w:val="21"/>
              </w:rPr>
            </w:pPr>
            <w:r>
              <w:rPr>
                <w:rFonts w:hint="eastAsia" w:ascii="宋体" w:hAnsi="宋体" w:eastAsia="仿宋_GB2312" w:cs="宋体"/>
                <w:color w:val="000000"/>
                <w:kern w:val="0"/>
                <w:szCs w:val="21"/>
              </w:rPr>
              <w:t>五、环境管理服务</w:t>
            </w:r>
          </w:p>
        </w:tc>
        <w:tc>
          <w:tcPr>
            <w:tcW w:w="873" w:type="dxa"/>
            <w:vAlign w:val="center"/>
          </w:tcPr>
          <w:p>
            <w:pPr>
              <w:widowControl/>
              <w:jc w:val="left"/>
              <w:rPr>
                <w:rFonts w:ascii="宋体" w:hAnsi="宋体" w:eastAsia="仿宋_GB2312" w:cs="宋体"/>
                <w:color w:val="000000"/>
                <w:kern w:val="0"/>
                <w:szCs w:val="21"/>
              </w:rPr>
            </w:pPr>
            <w:r>
              <w:rPr>
                <w:rFonts w:hint="eastAsia" w:ascii="宋体" w:hAnsi="宋体" w:eastAsia="仿宋_GB2312" w:cs="宋体"/>
                <w:color w:val="000000"/>
                <w:kern w:val="0"/>
                <w:szCs w:val="21"/>
              </w:rPr>
              <w:t>12</w:t>
            </w:r>
          </w:p>
        </w:tc>
        <w:tc>
          <w:tcPr>
            <w:tcW w:w="941" w:type="dxa"/>
            <w:vAlign w:val="center"/>
          </w:tcPr>
          <w:p>
            <w:pPr>
              <w:widowControl/>
              <w:rPr>
                <w:rFonts w:ascii="宋体" w:hAnsi="宋体" w:eastAsia="仿宋_GB2312" w:cs="宋体"/>
                <w:color w:val="000000"/>
                <w:kern w:val="0"/>
                <w:szCs w:val="21"/>
              </w:rPr>
            </w:pPr>
          </w:p>
        </w:tc>
        <w:tc>
          <w:tcPr>
            <w:tcW w:w="763" w:type="dxa"/>
            <w:vAlign w:val="center"/>
          </w:tcPr>
          <w:p>
            <w:pPr>
              <w:widowControl/>
              <w:rPr>
                <w:rFonts w:ascii="宋体" w:hAnsi="宋体" w:eastAsia="仿宋_GB2312" w:cs="宋体"/>
                <w:color w:val="000000"/>
                <w:kern w:val="0"/>
                <w:szCs w:val="21"/>
              </w:rPr>
            </w:pPr>
          </w:p>
        </w:tc>
        <w:tc>
          <w:tcPr>
            <w:tcW w:w="818" w:type="dxa"/>
            <w:vAlign w:val="center"/>
          </w:tcPr>
          <w:p>
            <w:pPr>
              <w:widowControl/>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8" w:type="dxa"/>
            <w:vMerge w:val="restart"/>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保洁服务</w:t>
            </w:r>
          </w:p>
        </w:tc>
        <w:tc>
          <w:tcPr>
            <w:tcW w:w="3641" w:type="dxa"/>
            <w:vAlign w:val="center"/>
          </w:tcPr>
          <w:p>
            <w:pPr>
              <w:widowControl/>
              <w:spacing w:line="300" w:lineRule="exact"/>
              <w:jc w:val="left"/>
              <w:rPr>
                <w:rFonts w:ascii="宋体" w:eastAsia="仿宋_GB2312" w:cs="宋体"/>
                <w:color w:val="000000"/>
                <w:kern w:val="0"/>
                <w:szCs w:val="21"/>
              </w:rPr>
            </w:pPr>
            <w:r>
              <w:rPr>
                <w:rFonts w:hint="eastAsia" w:ascii="宋体" w:hAnsi="宋体" w:eastAsia="仿宋_GB2312" w:cs="宋体"/>
                <w:color w:val="000000"/>
                <w:kern w:val="0"/>
                <w:szCs w:val="21"/>
              </w:rPr>
              <w:t>1 制定符合项目特点的保洁服务方案；</w:t>
            </w:r>
          </w:p>
        </w:tc>
        <w:tc>
          <w:tcPr>
            <w:tcW w:w="873" w:type="dxa"/>
            <w:vMerge w:val="restart"/>
            <w:vAlign w:val="center"/>
          </w:tcPr>
          <w:p>
            <w:pPr>
              <w:widowControl/>
              <w:jc w:val="left"/>
              <w:rPr>
                <w:rFonts w:ascii="宋体" w:eastAsia="仿宋_GB2312" w:cs="宋体"/>
                <w:color w:val="000000"/>
                <w:kern w:val="0"/>
                <w:szCs w:val="21"/>
              </w:rPr>
            </w:pPr>
            <w:r>
              <w:rPr>
                <w:rFonts w:hint="eastAsia" w:ascii="宋体" w:hAnsi="宋体" w:eastAsia="仿宋_GB2312" w:cs="宋体"/>
                <w:color w:val="000000"/>
                <w:kern w:val="0"/>
                <w:szCs w:val="21"/>
              </w:rPr>
              <w:t>8</w:t>
            </w:r>
          </w:p>
        </w:tc>
        <w:tc>
          <w:tcPr>
            <w:tcW w:w="941" w:type="dxa"/>
            <w:vMerge w:val="restart"/>
            <w:vAlign w:val="center"/>
          </w:tcPr>
          <w:p>
            <w:pPr>
              <w:widowControl/>
              <w:rPr>
                <w:rFonts w:ascii="宋体" w:eastAsia="仿宋_GB2312" w:cs="宋体"/>
                <w:color w:val="000000"/>
                <w:kern w:val="0"/>
                <w:szCs w:val="21"/>
              </w:rPr>
            </w:pPr>
            <w:r>
              <w:rPr>
                <w:rFonts w:hint="eastAsia" w:ascii="宋体" w:hAnsi="宋体" w:eastAsia="仿宋_GB2312" w:cs="宋体"/>
                <w:color w:val="000000"/>
                <w:kern w:val="0"/>
                <w:szCs w:val="21"/>
              </w:rPr>
              <w:t>一项不符合扣1分，一处不符合扣0.2分</w:t>
            </w:r>
          </w:p>
          <w:p>
            <w:pPr>
              <w:widowControl/>
              <w:rPr>
                <w:rFonts w:ascii="宋体" w:eastAsia="仿宋_GB2312" w:cs="宋体"/>
                <w:color w:val="000000"/>
                <w:kern w:val="0"/>
                <w:szCs w:val="21"/>
              </w:rPr>
            </w:pPr>
          </w:p>
        </w:tc>
        <w:tc>
          <w:tcPr>
            <w:tcW w:w="763" w:type="dxa"/>
            <w:vMerge w:val="restart"/>
            <w:vAlign w:val="center"/>
          </w:tcPr>
          <w:p>
            <w:pPr>
              <w:widowControl/>
              <w:rPr>
                <w:rFonts w:ascii="宋体" w:eastAsia="仿宋_GB2312" w:cs="宋体"/>
                <w:color w:val="000000"/>
                <w:kern w:val="0"/>
                <w:szCs w:val="21"/>
              </w:rPr>
            </w:pPr>
          </w:p>
        </w:tc>
        <w:tc>
          <w:tcPr>
            <w:tcW w:w="818" w:type="dxa"/>
            <w:vMerge w:val="restart"/>
            <w:vAlign w:val="center"/>
          </w:tcPr>
          <w:p>
            <w:pPr>
              <w:widowControl/>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300" w:lineRule="exact"/>
              <w:jc w:val="left"/>
              <w:rPr>
                <w:rFonts w:ascii="宋体" w:hAnsi="宋体" w:eastAsia="仿宋_GB2312" w:cs="宋体"/>
                <w:b/>
                <w:color w:val="000000"/>
                <w:kern w:val="0"/>
                <w:szCs w:val="21"/>
              </w:rPr>
            </w:pPr>
            <w:r>
              <w:rPr>
                <w:rFonts w:hint="eastAsia" w:ascii="宋体" w:hAnsi="宋体" w:eastAsia="仿宋_GB2312" w:cs="宋体"/>
                <w:color w:val="000000"/>
                <w:kern w:val="0"/>
                <w:szCs w:val="21"/>
              </w:rPr>
              <w:t>2 保洁人员配置合理，责任区域明确；</w:t>
            </w:r>
          </w:p>
        </w:tc>
        <w:tc>
          <w:tcPr>
            <w:tcW w:w="873" w:type="dxa"/>
            <w:vMerge w:val="continue"/>
            <w:vAlign w:val="center"/>
          </w:tcPr>
          <w:p>
            <w:pPr>
              <w:widowControl/>
              <w:jc w:val="left"/>
              <w:rPr>
                <w:rFonts w:ascii="宋体" w:hAnsi="宋体" w:eastAsia="仿宋_GB2312" w:cs="宋体"/>
                <w:color w:val="000000"/>
                <w:kern w:val="0"/>
                <w:szCs w:val="21"/>
              </w:rPr>
            </w:pPr>
          </w:p>
        </w:tc>
        <w:tc>
          <w:tcPr>
            <w:tcW w:w="941" w:type="dxa"/>
            <w:vMerge w:val="continue"/>
            <w:vAlign w:val="center"/>
          </w:tcPr>
          <w:p>
            <w:pPr>
              <w:widowControl/>
              <w:rPr>
                <w:rFonts w:ascii="宋体" w:hAnsi="宋体" w:eastAsia="仿宋_GB2312" w:cs="宋体"/>
                <w:color w:val="000000"/>
                <w:kern w:val="0"/>
                <w:szCs w:val="21"/>
              </w:rPr>
            </w:pPr>
          </w:p>
        </w:tc>
        <w:tc>
          <w:tcPr>
            <w:tcW w:w="763" w:type="dxa"/>
            <w:vMerge w:val="continue"/>
            <w:vAlign w:val="center"/>
          </w:tcPr>
          <w:p>
            <w:pPr>
              <w:widowControl/>
              <w:rPr>
                <w:rFonts w:ascii="宋体" w:eastAsia="仿宋_GB2312" w:cs="宋体"/>
                <w:color w:val="000000"/>
                <w:kern w:val="0"/>
                <w:szCs w:val="21"/>
              </w:rPr>
            </w:pPr>
          </w:p>
        </w:tc>
        <w:tc>
          <w:tcPr>
            <w:tcW w:w="818" w:type="dxa"/>
            <w:vMerge w:val="continue"/>
            <w:vAlign w:val="center"/>
          </w:tcPr>
          <w:p>
            <w:pPr>
              <w:widowControl/>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30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3 制定并严格执行保洁用品、范围、流程、频次、效果及评价等服务标准；</w:t>
            </w:r>
          </w:p>
        </w:tc>
        <w:tc>
          <w:tcPr>
            <w:tcW w:w="873" w:type="dxa"/>
            <w:vMerge w:val="continue"/>
            <w:vAlign w:val="center"/>
          </w:tcPr>
          <w:p>
            <w:pPr>
              <w:widowControl/>
              <w:jc w:val="left"/>
              <w:rPr>
                <w:rFonts w:asci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38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4 垃圾实行分类管理，工业废料及医疗垃圾等严格按照有关规定处理；</w:t>
            </w:r>
          </w:p>
        </w:tc>
        <w:tc>
          <w:tcPr>
            <w:tcW w:w="873" w:type="dxa"/>
            <w:vMerge w:val="continue"/>
            <w:vAlign w:val="center"/>
          </w:tcPr>
          <w:p>
            <w:pPr>
              <w:widowControl/>
              <w:jc w:val="left"/>
              <w:rPr>
                <w:rFonts w:asci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restart"/>
            <w:vAlign w:val="center"/>
          </w:tcPr>
          <w:p>
            <w:pPr>
              <w:widowControl/>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38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5 保洁设施设备配置合理，工具台账完善，定期对保洁设施设备进行卫生消毒；</w:t>
            </w:r>
          </w:p>
        </w:tc>
        <w:tc>
          <w:tcPr>
            <w:tcW w:w="873" w:type="dxa"/>
            <w:vMerge w:val="continue"/>
            <w:vAlign w:val="center"/>
          </w:tcPr>
          <w:p>
            <w:pPr>
              <w:widowControl/>
              <w:jc w:val="left"/>
              <w:rPr>
                <w:rFonts w:asci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38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6 管理区域内道路、绿地、停车场等公共场地无纸屑、烟头、塑料袋等废弃物；</w:t>
            </w:r>
          </w:p>
        </w:tc>
        <w:tc>
          <w:tcPr>
            <w:tcW w:w="873" w:type="dxa"/>
            <w:vMerge w:val="continue"/>
            <w:vAlign w:val="center"/>
          </w:tcPr>
          <w:p>
            <w:pPr>
              <w:widowControl/>
              <w:jc w:val="left"/>
              <w:rPr>
                <w:rFonts w:asci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380" w:lineRule="exact"/>
              <w:jc w:val="left"/>
              <w:rPr>
                <w:rFonts w:ascii="宋体" w:hAnsi="宋体" w:eastAsia="仿宋_GB2312" w:cs="宋体"/>
                <w:color w:val="000000"/>
                <w:kern w:val="0"/>
                <w:szCs w:val="21"/>
              </w:rPr>
            </w:pPr>
            <w:r>
              <w:rPr>
                <w:rFonts w:hint="eastAsia" w:ascii="宋体" w:hAnsi="宋体" w:eastAsia="仿宋_GB2312" w:cs="宋体"/>
                <w:color w:val="000000"/>
                <w:kern w:val="0"/>
                <w:szCs w:val="21"/>
              </w:rPr>
              <w:t>7 及时清理公共场地、道路的积雪、积水，物业共用部位及共用设施设备保持清洁；</w:t>
            </w:r>
          </w:p>
        </w:tc>
        <w:tc>
          <w:tcPr>
            <w:tcW w:w="873" w:type="dxa"/>
            <w:vMerge w:val="continue"/>
            <w:vAlign w:val="center"/>
          </w:tcPr>
          <w:p>
            <w:pPr>
              <w:widowControl/>
              <w:jc w:val="left"/>
              <w:rPr>
                <w:rFonts w:asci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380" w:lineRule="exact"/>
              <w:jc w:val="left"/>
              <w:rPr>
                <w:rFonts w:ascii="宋体" w:eastAsia="仿宋_GB2312" w:cs="宋体"/>
                <w:color w:val="000000"/>
                <w:kern w:val="0"/>
                <w:szCs w:val="21"/>
              </w:rPr>
            </w:pPr>
            <w:r>
              <w:rPr>
                <w:rFonts w:hint="eastAsia" w:ascii="宋体" w:hAnsi="宋体" w:eastAsia="仿宋_GB2312" w:cs="宋体"/>
                <w:color w:val="000000"/>
                <w:kern w:val="0"/>
                <w:szCs w:val="21"/>
              </w:rPr>
              <w:t>8 防治鼠害、虫害等有计划，有措施，有记录。</w:t>
            </w:r>
          </w:p>
        </w:tc>
        <w:tc>
          <w:tcPr>
            <w:tcW w:w="873" w:type="dxa"/>
            <w:vMerge w:val="continue"/>
            <w:vAlign w:val="center"/>
          </w:tcPr>
          <w:p>
            <w:pPr>
              <w:widowControl/>
              <w:jc w:val="left"/>
              <w:rPr>
                <w:rFonts w:ascii="宋体" w:eastAsia="仿宋_GB2312" w:cs="宋体"/>
                <w:color w:val="000000"/>
                <w:kern w:val="0"/>
                <w:szCs w:val="21"/>
              </w:rPr>
            </w:pPr>
          </w:p>
        </w:tc>
        <w:tc>
          <w:tcPr>
            <w:tcW w:w="941" w:type="dxa"/>
            <w:vMerge w:val="continue"/>
            <w:vAlign w:val="center"/>
          </w:tcPr>
          <w:p>
            <w:pPr>
              <w:widowControl/>
              <w:jc w:val="left"/>
              <w:rPr>
                <w:rFonts w:ascii="宋体" w:eastAsia="仿宋_GB2312" w:cs="宋体"/>
                <w:color w:val="000000"/>
                <w:kern w:val="0"/>
                <w:szCs w:val="21"/>
              </w:rPr>
            </w:pPr>
          </w:p>
        </w:tc>
        <w:tc>
          <w:tcPr>
            <w:tcW w:w="763" w:type="dxa"/>
            <w:vMerge w:val="continue"/>
            <w:vAlign w:val="center"/>
          </w:tcPr>
          <w:p>
            <w:pPr>
              <w:widowControl/>
              <w:jc w:val="left"/>
              <w:rPr>
                <w:rFonts w:ascii="宋体" w:eastAsia="仿宋_GB2312" w:cs="宋体"/>
                <w:color w:val="000000"/>
                <w:kern w:val="0"/>
                <w:szCs w:val="21"/>
              </w:rPr>
            </w:pPr>
          </w:p>
        </w:tc>
        <w:tc>
          <w:tcPr>
            <w:tcW w:w="818" w:type="dxa"/>
            <w:vMerge w:val="continue"/>
            <w:vAlign w:val="center"/>
          </w:tcPr>
          <w:p>
            <w:pPr>
              <w:widowControl/>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98" w:type="dxa"/>
            <w:vMerge w:val="restart"/>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绿化养护管理</w:t>
            </w:r>
          </w:p>
        </w:tc>
        <w:tc>
          <w:tcPr>
            <w:tcW w:w="3641" w:type="dxa"/>
            <w:vAlign w:val="center"/>
          </w:tcPr>
          <w:p>
            <w:pPr>
              <w:widowControl/>
              <w:spacing w:line="380" w:lineRule="exact"/>
              <w:rPr>
                <w:rFonts w:ascii="宋体" w:eastAsia="仿宋_GB2312" w:cs="宋体"/>
                <w:color w:val="000000"/>
                <w:kern w:val="0"/>
                <w:szCs w:val="21"/>
              </w:rPr>
            </w:pPr>
            <w:r>
              <w:rPr>
                <w:rFonts w:hint="eastAsia" w:ascii="宋体" w:hAnsi="宋体" w:eastAsia="仿宋_GB2312" w:cs="宋体"/>
                <w:color w:val="000000"/>
                <w:kern w:val="0"/>
                <w:szCs w:val="21"/>
              </w:rPr>
              <w:t>1 绿化养护人员配置合理，责任区域明确；</w:t>
            </w:r>
          </w:p>
        </w:tc>
        <w:tc>
          <w:tcPr>
            <w:tcW w:w="873" w:type="dxa"/>
            <w:vMerge w:val="restart"/>
            <w:vAlign w:val="center"/>
          </w:tcPr>
          <w:p>
            <w:pPr>
              <w:widowControl/>
              <w:spacing w:line="260" w:lineRule="exact"/>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4</w:t>
            </w:r>
          </w:p>
        </w:tc>
        <w:tc>
          <w:tcPr>
            <w:tcW w:w="941" w:type="dxa"/>
            <w:vMerge w:val="restart"/>
            <w:vAlign w:val="center"/>
          </w:tcPr>
          <w:p>
            <w:pPr>
              <w:widowControl/>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一项不符合扣0.5分，一处不符合扣</w:t>
            </w:r>
            <w:r>
              <w:rPr>
                <w:rFonts w:hint="eastAsia" w:ascii="宋体" w:eastAsia="仿宋_GB2312" w:cs="宋体"/>
                <w:color w:val="000000"/>
                <w:kern w:val="0"/>
                <w:szCs w:val="21"/>
              </w:rPr>
              <w:t>0</w:t>
            </w:r>
            <w:r>
              <w:rPr>
                <w:rFonts w:hint="eastAsia" w:ascii="宋体" w:hAnsi="宋体" w:eastAsia="仿宋_GB2312" w:cs="宋体"/>
                <w:color w:val="000000"/>
                <w:kern w:val="0"/>
                <w:szCs w:val="21"/>
              </w:rPr>
              <w:t>.2分</w:t>
            </w:r>
          </w:p>
        </w:tc>
        <w:tc>
          <w:tcPr>
            <w:tcW w:w="763" w:type="dxa"/>
            <w:vMerge w:val="restart"/>
            <w:vAlign w:val="center"/>
          </w:tcPr>
          <w:p>
            <w:pPr>
              <w:widowControl/>
              <w:spacing w:line="260" w:lineRule="exact"/>
              <w:jc w:val="left"/>
              <w:rPr>
                <w:rFonts w:ascii="宋体" w:eastAsia="仿宋_GB2312" w:cs="宋体"/>
                <w:color w:val="000000"/>
                <w:kern w:val="0"/>
                <w:szCs w:val="21"/>
              </w:rPr>
            </w:pPr>
          </w:p>
        </w:tc>
        <w:tc>
          <w:tcPr>
            <w:tcW w:w="818" w:type="dxa"/>
            <w:vMerge w:val="restart"/>
            <w:vAlign w:val="center"/>
          </w:tcPr>
          <w:p>
            <w:pPr>
              <w:widowControl/>
              <w:spacing w:line="260" w:lineRule="exact"/>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380" w:lineRule="exact"/>
              <w:rPr>
                <w:rFonts w:ascii="宋体" w:eastAsia="仿宋_GB2312" w:cs="宋体"/>
                <w:color w:val="000000"/>
                <w:kern w:val="0"/>
                <w:szCs w:val="21"/>
              </w:rPr>
            </w:pPr>
            <w:r>
              <w:rPr>
                <w:rFonts w:hint="eastAsia" w:ascii="宋体" w:hAnsi="宋体" w:eastAsia="仿宋_GB2312" w:cs="宋体"/>
                <w:color w:val="000000"/>
                <w:kern w:val="0"/>
                <w:szCs w:val="21"/>
              </w:rPr>
              <w:t>2 制定并落实绿化养护计划；</w:t>
            </w:r>
          </w:p>
        </w:tc>
        <w:tc>
          <w:tcPr>
            <w:tcW w:w="873" w:type="dxa"/>
            <w:vMerge w:val="continue"/>
            <w:vAlign w:val="center"/>
          </w:tcPr>
          <w:p>
            <w:pPr>
              <w:widowControl/>
              <w:spacing w:line="260" w:lineRule="exact"/>
              <w:jc w:val="left"/>
              <w:rPr>
                <w:rFonts w:ascii="宋体" w:eastAsia="仿宋_GB2312" w:cs="宋体"/>
                <w:color w:val="000000"/>
                <w:kern w:val="0"/>
                <w:szCs w:val="21"/>
              </w:rPr>
            </w:pPr>
          </w:p>
        </w:tc>
        <w:tc>
          <w:tcPr>
            <w:tcW w:w="941" w:type="dxa"/>
            <w:vMerge w:val="continue"/>
            <w:vAlign w:val="center"/>
          </w:tcPr>
          <w:p>
            <w:pPr>
              <w:widowControl/>
              <w:spacing w:line="260" w:lineRule="exact"/>
              <w:jc w:val="left"/>
              <w:rPr>
                <w:rFonts w:ascii="宋体" w:eastAsia="仿宋_GB2312" w:cs="宋体"/>
                <w:color w:val="000000"/>
                <w:kern w:val="0"/>
                <w:szCs w:val="21"/>
              </w:rPr>
            </w:pPr>
          </w:p>
        </w:tc>
        <w:tc>
          <w:tcPr>
            <w:tcW w:w="763" w:type="dxa"/>
            <w:vMerge w:val="continue"/>
            <w:vAlign w:val="center"/>
          </w:tcPr>
          <w:p>
            <w:pPr>
              <w:widowControl/>
              <w:spacing w:line="260" w:lineRule="exact"/>
              <w:jc w:val="left"/>
              <w:rPr>
                <w:rFonts w:ascii="宋体" w:eastAsia="仿宋_GB2312" w:cs="宋体"/>
                <w:color w:val="000000"/>
                <w:kern w:val="0"/>
                <w:szCs w:val="21"/>
              </w:rPr>
            </w:pPr>
          </w:p>
        </w:tc>
        <w:tc>
          <w:tcPr>
            <w:tcW w:w="818" w:type="dxa"/>
            <w:vMerge w:val="continue"/>
            <w:vAlign w:val="center"/>
          </w:tcPr>
          <w:p>
            <w:pPr>
              <w:widowControl/>
              <w:spacing w:line="260" w:lineRule="exact"/>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380" w:lineRule="exact"/>
              <w:rPr>
                <w:rFonts w:ascii="宋体" w:eastAsia="仿宋_GB2312" w:cs="宋体"/>
                <w:color w:val="000000"/>
                <w:kern w:val="0"/>
                <w:szCs w:val="21"/>
              </w:rPr>
            </w:pPr>
            <w:r>
              <w:rPr>
                <w:rFonts w:hint="eastAsia" w:ascii="宋体" w:hAnsi="宋体" w:eastAsia="仿宋_GB2312" w:cs="宋体"/>
                <w:color w:val="000000"/>
                <w:kern w:val="0"/>
                <w:szCs w:val="21"/>
              </w:rPr>
              <w:t>3 绿化图纸、苗木清单等资料齐全，设备、工具台帐完善；</w:t>
            </w:r>
          </w:p>
        </w:tc>
        <w:tc>
          <w:tcPr>
            <w:tcW w:w="873" w:type="dxa"/>
            <w:vMerge w:val="continue"/>
            <w:vAlign w:val="center"/>
          </w:tcPr>
          <w:p>
            <w:pPr>
              <w:widowControl/>
              <w:spacing w:line="260" w:lineRule="exact"/>
              <w:jc w:val="left"/>
              <w:rPr>
                <w:rFonts w:ascii="宋体" w:eastAsia="仿宋_GB2312" w:cs="宋体"/>
                <w:color w:val="000000"/>
                <w:kern w:val="0"/>
                <w:szCs w:val="21"/>
              </w:rPr>
            </w:pPr>
          </w:p>
        </w:tc>
        <w:tc>
          <w:tcPr>
            <w:tcW w:w="941" w:type="dxa"/>
            <w:vMerge w:val="continue"/>
            <w:vAlign w:val="center"/>
          </w:tcPr>
          <w:p>
            <w:pPr>
              <w:widowControl/>
              <w:spacing w:line="260" w:lineRule="exact"/>
              <w:jc w:val="left"/>
              <w:rPr>
                <w:rFonts w:ascii="宋体" w:eastAsia="仿宋_GB2312" w:cs="宋体"/>
                <w:color w:val="000000"/>
                <w:kern w:val="0"/>
                <w:szCs w:val="21"/>
              </w:rPr>
            </w:pPr>
          </w:p>
        </w:tc>
        <w:tc>
          <w:tcPr>
            <w:tcW w:w="763" w:type="dxa"/>
            <w:vMerge w:val="continue"/>
            <w:vAlign w:val="center"/>
          </w:tcPr>
          <w:p>
            <w:pPr>
              <w:widowControl/>
              <w:spacing w:line="260" w:lineRule="exact"/>
              <w:jc w:val="left"/>
              <w:rPr>
                <w:rFonts w:ascii="宋体" w:eastAsia="仿宋_GB2312" w:cs="宋体"/>
                <w:color w:val="000000"/>
                <w:kern w:val="0"/>
                <w:szCs w:val="21"/>
              </w:rPr>
            </w:pPr>
          </w:p>
        </w:tc>
        <w:tc>
          <w:tcPr>
            <w:tcW w:w="818" w:type="dxa"/>
            <w:vMerge w:val="continue"/>
            <w:vAlign w:val="center"/>
          </w:tcPr>
          <w:p>
            <w:pPr>
              <w:widowControl/>
              <w:spacing w:line="260" w:lineRule="exact"/>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380" w:lineRule="exact"/>
              <w:rPr>
                <w:rFonts w:ascii="宋体" w:eastAsia="仿宋_GB2312" w:cs="宋体"/>
                <w:color w:val="000000"/>
                <w:kern w:val="0"/>
                <w:szCs w:val="21"/>
              </w:rPr>
            </w:pPr>
            <w:r>
              <w:rPr>
                <w:rFonts w:hint="eastAsia" w:ascii="宋体" w:hAnsi="宋体" w:eastAsia="仿宋_GB2312" w:cs="宋体"/>
                <w:color w:val="000000"/>
                <w:kern w:val="0"/>
                <w:szCs w:val="21"/>
              </w:rPr>
              <w:t>4 醒目处设置爱护绿化提示标志，重点树木品种实行标牌管理；</w:t>
            </w:r>
          </w:p>
        </w:tc>
        <w:tc>
          <w:tcPr>
            <w:tcW w:w="873" w:type="dxa"/>
            <w:vMerge w:val="continue"/>
            <w:vAlign w:val="center"/>
          </w:tcPr>
          <w:p>
            <w:pPr>
              <w:widowControl/>
              <w:spacing w:line="260" w:lineRule="exact"/>
              <w:jc w:val="left"/>
              <w:rPr>
                <w:rFonts w:ascii="宋体" w:eastAsia="仿宋_GB2312" w:cs="宋体"/>
                <w:color w:val="000000"/>
                <w:kern w:val="0"/>
                <w:szCs w:val="21"/>
              </w:rPr>
            </w:pPr>
          </w:p>
        </w:tc>
        <w:tc>
          <w:tcPr>
            <w:tcW w:w="941" w:type="dxa"/>
            <w:vMerge w:val="continue"/>
            <w:vAlign w:val="center"/>
          </w:tcPr>
          <w:p>
            <w:pPr>
              <w:widowControl/>
              <w:spacing w:line="260" w:lineRule="exact"/>
              <w:jc w:val="left"/>
              <w:rPr>
                <w:rFonts w:ascii="宋体" w:eastAsia="仿宋_GB2312" w:cs="宋体"/>
                <w:color w:val="000000"/>
                <w:kern w:val="0"/>
                <w:szCs w:val="21"/>
              </w:rPr>
            </w:pPr>
          </w:p>
        </w:tc>
        <w:tc>
          <w:tcPr>
            <w:tcW w:w="763" w:type="dxa"/>
            <w:vMerge w:val="continue"/>
            <w:vAlign w:val="center"/>
          </w:tcPr>
          <w:p>
            <w:pPr>
              <w:widowControl/>
              <w:spacing w:line="260" w:lineRule="exact"/>
              <w:jc w:val="left"/>
              <w:rPr>
                <w:rFonts w:ascii="宋体" w:eastAsia="仿宋_GB2312" w:cs="宋体"/>
                <w:color w:val="000000"/>
                <w:kern w:val="0"/>
                <w:szCs w:val="21"/>
              </w:rPr>
            </w:pPr>
          </w:p>
        </w:tc>
        <w:tc>
          <w:tcPr>
            <w:tcW w:w="818" w:type="dxa"/>
            <w:vMerge w:val="continue"/>
            <w:vAlign w:val="center"/>
          </w:tcPr>
          <w:p>
            <w:pPr>
              <w:widowControl/>
              <w:spacing w:line="260" w:lineRule="exact"/>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380" w:lineRule="exact"/>
              <w:rPr>
                <w:rFonts w:ascii="宋体" w:eastAsia="仿宋_GB2312" w:cs="宋体"/>
                <w:color w:val="000000"/>
                <w:kern w:val="0"/>
                <w:szCs w:val="21"/>
              </w:rPr>
            </w:pPr>
            <w:r>
              <w:rPr>
                <w:rFonts w:hint="eastAsia" w:ascii="宋体" w:hAnsi="宋体" w:eastAsia="仿宋_GB2312" w:cs="宋体"/>
                <w:color w:val="000000"/>
                <w:kern w:val="0"/>
                <w:szCs w:val="21"/>
              </w:rPr>
              <w:t>5 定期组织浇灌、施肥、松土和喷药，提前做好防涝和防冻工作；</w:t>
            </w:r>
          </w:p>
        </w:tc>
        <w:tc>
          <w:tcPr>
            <w:tcW w:w="873" w:type="dxa"/>
            <w:vMerge w:val="continue"/>
            <w:vAlign w:val="center"/>
          </w:tcPr>
          <w:p>
            <w:pPr>
              <w:widowControl/>
              <w:spacing w:line="260" w:lineRule="exact"/>
              <w:jc w:val="left"/>
              <w:rPr>
                <w:rFonts w:ascii="宋体" w:eastAsia="仿宋_GB2312" w:cs="宋体"/>
                <w:color w:val="000000"/>
                <w:kern w:val="0"/>
                <w:szCs w:val="21"/>
              </w:rPr>
            </w:pPr>
          </w:p>
        </w:tc>
        <w:tc>
          <w:tcPr>
            <w:tcW w:w="941" w:type="dxa"/>
            <w:vMerge w:val="continue"/>
            <w:vAlign w:val="center"/>
          </w:tcPr>
          <w:p>
            <w:pPr>
              <w:widowControl/>
              <w:spacing w:line="260" w:lineRule="exact"/>
              <w:jc w:val="left"/>
              <w:rPr>
                <w:rFonts w:ascii="宋体" w:eastAsia="仿宋_GB2312" w:cs="宋体"/>
                <w:color w:val="000000"/>
                <w:kern w:val="0"/>
                <w:szCs w:val="21"/>
              </w:rPr>
            </w:pPr>
          </w:p>
        </w:tc>
        <w:tc>
          <w:tcPr>
            <w:tcW w:w="763" w:type="dxa"/>
            <w:vMerge w:val="continue"/>
            <w:vAlign w:val="center"/>
          </w:tcPr>
          <w:p>
            <w:pPr>
              <w:widowControl/>
              <w:spacing w:line="260" w:lineRule="exact"/>
              <w:jc w:val="left"/>
              <w:rPr>
                <w:rFonts w:ascii="宋体" w:eastAsia="仿宋_GB2312" w:cs="宋体"/>
                <w:color w:val="000000"/>
                <w:kern w:val="0"/>
                <w:szCs w:val="21"/>
              </w:rPr>
            </w:pPr>
          </w:p>
        </w:tc>
        <w:tc>
          <w:tcPr>
            <w:tcW w:w="818" w:type="dxa"/>
            <w:vMerge w:val="continue"/>
            <w:vAlign w:val="center"/>
          </w:tcPr>
          <w:p>
            <w:pPr>
              <w:widowControl/>
              <w:spacing w:line="260" w:lineRule="exact"/>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380" w:lineRule="exact"/>
              <w:rPr>
                <w:rFonts w:ascii="宋体" w:eastAsia="仿宋_GB2312" w:cs="宋体"/>
                <w:color w:val="000000"/>
                <w:kern w:val="0"/>
                <w:szCs w:val="21"/>
              </w:rPr>
            </w:pPr>
            <w:r>
              <w:rPr>
                <w:rFonts w:hint="eastAsia" w:ascii="宋体" w:hAnsi="宋体" w:eastAsia="仿宋_GB2312" w:cs="宋体"/>
                <w:color w:val="000000"/>
                <w:kern w:val="0"/>
                <w:szCs w:val="21"/>
              </w:rPr>
              <w:t>6 各类乔、灌、草等植物长势良好，修剪整齐美观，无折损，无病虫害、斑秃现象；</w:t>
            </w:r>
          </w:p>
        </w:tc>
        <w:tc>
          <w:tcPr>
            <w:tcW w:w="873" w:type="dxa"/>
            <w:vMerge w:val="continue"/>
            <w:vAlign w:val="center"/>
          </w:tcPr>
          <w:p>
            <w:pPr>
              <w:widowControl/>
              <w:spacing w:line="260" w:lineRule="exact"/>
              <w:jc w:val="left"/>
              <w:rPr>
                <w:rFonts w:ascii="宋体" w:eastAsia="仿宋_GB2312" w:cs="宋体"/>
                <w:color w:val="000000"/>
                <w:kern w:val="0"/>
                <w:szCs w:val="21"/>
              </w:rPr>
            </w:pPr>
          </w:p>
        </w:tc>
        <w:tc>
          <w:tcPr>
            <w:tcW w:w="941" w:type="dxa"/>
            <w:vMerge w:val="continue"/>
            <w:vAlign w:val="center"/>
          </w:tcPr>
          <w:p>
            <w:pPr>
              <w:widowControl/>
              <w:spacing w:line="260" w:lineRule="exact"/>
              <w:jc w:val="left"/>
              <w:rPr>
                <w:rFonts w:ascii="宋体" w:eastAsia="仿宋_GB2312" w:cs="宋体"/>
                <w:color w:val="000000"/>
                <w:kern w:val="0"/>
                <w:szCs w:val="21"/>
              </w:rPr>
            </w:pPr>
          </w:p>
        </w:tc>
        <w:tc>
          <w:tcPr>
            <w:tcW w:w="763" w:type="dxa"/>
            <w:vMerge w:val="continue"/>
            <w:vAlign w:val="center"/>
          </w:tcPr>
          <w:p>
            <w:pPr>
              <w:widowControl/>
              <w:spacing w:line="260" w:lineRule="exact"/>
              <w:jc w:val="left"/>
              <w:rPr>
                <w:rFonts w:ascii="宋体" w:eastAsia="仿宋_GB2312" w:cs="宋体"/>
                <w:color w:val="000000"/>
                <w:kern w:val="0"/>
                <w:szCs w:val="21"/>
              </w:rPr>
            </w:pPr>
          </w:p>
        </w:tc>
        <w:tc>
          <w:tcPr>
            <w:tcW w:w="818" w:type="dxa"/>
            <w:vMerge w:val="continue"/>
            <w:vAlign w:val="center"/>
          </w:tcPr>
          <w:p>
            <w:pPr>
              <w:widowControl/>
              <w:spacing w:line="260" w:lineRule="exact"/>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380" w:lineRule="exact"/>
              <w:rPr>
                <w:rFonts w:ascii="宋体" w:eastAsia="仿宋_GB2312" w:cs="宋体"/>
                <w:color w:val="000000"/>
                <w:kern w:val="0"/>
                <w:szCs w:val="21"/>
              </w:rPr>
            </w:pPr>
            <w:r>
              <w:rPr>
                <w:rFonts w:hint="eastAsia" w:ascii="宋体" w:hAnsi="宋体" w:eastAsia="仿宋_GB2312" w:cs="宋体"/>
                <w:color w:val="000000"/>
                <w:kern w:val="0"/>
                <w:szCs w:val="21"/>
              </w:rPr>
              <w:t>7 绿地无破坏、践踏、占用现象，树木无悬挂物及晾晒物品；</w:t>
            </w:r>
          </w:p>
        </w:tc>
        <w:tc>
          <w:tcPr>
            <w:tcW w:w="873" w:type="dxa"/>
            <w:vMerge w:val="continue"/>
            <w:vAlign w:val="center"/>
          </w:tcPr>
          <w:p>
            <w:pPr>
              <w:widowControl/>
              <w:spacing w:line="260" w:lineRule="exact"/>
              <w:jc w:val="left"/>
              <w:rPr>
                <w:rFonts w:ascii="宋体" w:eastAsia="仿宋_GB2312" w:cs="宋体"/>
                <w:color w:val="000000"/>
                <w:kern w:val="0"/>
                <w:szCs w:val="21"/>
              </w:rPr>
            </w:pPr>
          </w:p>
        </w:tc>
        <w:tc>
          <w:tcPr>
            <w:tcW w:w="941" w:type="dxa"/>
            <w:vMerge w:val="continue"/>
            <w:vAlign w:val="center"/>
          </w:tcPr>
          <w:p>
            <w:pPr>
              <w:widowControl/>
              <w:spacing w:line="260" w:lineRule="exact"/>
              <w:jc w:val="left"/>
              <w:rPr>
                <w:rFonts w:ascii="宋体" w:eastAsia="仿宋_GB2312" w:cs="宋体"/>
                <w:color w:val="000000"/>
                <w:kern w:val="0"/>
                <w:szCs w:val="21"/>
              </w:rPr>
            </w:pPr>
          </w:p>
        </w:tc>
        <w:tc>
          <w:tcPr>
            <w:tcW w:w="763" w:type="dxa"/>
            <w:vMerge w:val="continue"/>
            <w:vAlign w:val="center"/>
          </w:tcPr>
          <w:p>
            <w:pPr>
              <w:widowControl/>
              <w:spacing w:line="260" w:lineRule="exact"/>
              <w:jc w:val="left"/>
              <w:rPr>
                <w:rFonts w:ascii="宋体" w:eastAsia="仿宋_GB2312" w:cs="宋体"/>
                <w:color w:val="000000"/>
                <w:kern w:val="0"/>
                <w:szCs w:val="21"/>
              </w:rPr>
            </w:pPr>
          </w:p>
        </w:tc>
        <w:tc>
          <w:tcPr>
            <w:tcW w:w="818" w:type="dxa"/>
            <w:vMerge w:val="continue"/>
            <w:vAlign w:val="center"/>
          </w:tcPr>
          <w:p>
            <w:pPr>
              <w:widowControl/>
              <w:spacing w:line="260" w:lineRule="exact"/>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98" w:type="dxa"/>
            <w:vMerge w:val="continue"/>
            <w:vAlign w:val="center"/>
          </w:tcPr>
          <w:p>
            <w:pPr>
              <w:widowControl/>
              <w:rPr>
                <w:rFonts w:ascii="宋体" w:eastAsia="仿宋_GB2312" w:cs="宋体"/>
                <w:color w:val="000000"/>
                <w:kern w:val="0"/>
                <w:szCs w:val="21"/>
              </w:rPr>
            </w:pPr>
          </w:p>
        </w:tc>
        <w:tc>
          <w:tcPr>
            <w:tcW w:w="3641" w:type="dxa"/>
            <w:vAlign w:val="center"/>
          </w:tcPr>
          <w:p>
            <w:pPr>
              <w:widowControl/>
              <w:spacing w:line="380" w:lineRule="exact"/>
              <w:rPr>
                <w:rFonts w:ascii="宋体" w:eastAsia="仿宋_GB2312" w:cs="宋体"/>
                <w:color w:val="000000"/>
                <w:kern w:val="0"/>
                <w:szCs w:val="21"/>
              </w:rPr>
            </w:pPr>
            <w:r>
              <w:rPr>
                <w:rFonts w:hint="eastAsia" w:ascii="宋体" w:hAnsi="宋体" w:eastAsia="仿宋_GB2312" w:cs="宋体"/>
                <w:color w:val="000000"/>
                <w:kern w:val="0"/>
                <w:szCs w:val="21"/>
              </w:rPr>
              <w:t>8 室内租摆绿植定期养护、适时更换。</w:t>
            </w:r>
          </w:p>
        </w:tc>
        <w:tc>
          <w:tcPr>
            <w:tcW w:w="873" w:type="dxa"/>
            <w:vMerge w:val="continue"/>
            <w:vAlign w:val="center"/>
          </w:tcPr>
          <w:p>
            <w:pPr>
              <w:widowControl/>
              <w:spacing w:line="260" w:lineRule="exact"/>
              <w:jc w:val="left"/>
              <w:rPr>
                <w:rFonts w:ascii="宋体" w:eastAsia="仿宋_GB2312" w:cs="宋体"/>
                <w:color w:val="000000"/>
                <w:kern w:val="0"/>
                <w:szCs w:val="21"/>
              </w:rPr>
            </w:pPr>
          </w:p>
        </w:tc>
        <w:tc>
          <w:tcPr>
            <w:tcW w:w="941" w:type="dxa"/>
            <w:vMerge w:val="continue"/>
            <w:vAlign w:val="center"/>
          </w:tcPr>
          <w:p>
            <w:pPr>
              <w:widowControl/>
              <w:spacing w:line="260" w:lineRule="exact"/>
              <w:jc w:val="left"/>
              <w:rPr>
                <w:rFonts w:ascii="宋体" w:eastAsia="仿宋_GB2312" w:cs="宋体"/>
                <w:color w:val="000000"/>
                <w:kern w:val="0"/>
                <w:szCs w:val="21"/>
              </w:rPr>
            </w:pPr>
          </w:p>
        </w:tc>
        <w:tc>
          <w:tcPr>
            <w:tcW w:w="763" w:type="dxa"/>
            <w:vMerge w:val="continue"/>
            <w:vAlign w:val="center"/>
          </w:tcPr>
          <w:p>
            <w:pPr>
              <w:widowControl/>
              <w:spacing w:line="260" w:lineRule="exact"/>
              <w:jc w:val="left"/>
              <w:rPr>
                <w:rFonts w:ascii="宋体" w:eastAsia="仿宋_GB2312" w:cs="宋体"/>
                <w:color w:val="000000"/>
                <w:kern w:val="0"/>
                <w:szCs w:val="21"/>
              </w:rPr>
            </w:pPr>
          </w:p>
        </w:tc>
        <w:tc>
          <w:tcPr>
            <w:tcW w:w="818" w:type="dxa"/>
            <w:vMerge w:val="continue"/>
            <w:vAlign w:val="center"/>
          </w:tcPr>
          <w:p>
            <w:pPr>
              <w:widowControl/>
              <w:spacing w:line="260" w:lineRule="exact"/>
              <w:jc w:val="left"/>
              <w:rPr>
                <w:rFonts w:cs="Calibri"/>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339" w:type="dxa"/>
            <w:gridSpan w:val="2"/>
            <w:vAlign w:val="center"/>
          </w:tcPr>
          <w:p>
            <w:pPr>
              <w:widowControl/>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六、创新、效益与业主评价</w:t>
            </w:r>
          </w:p>
        </w:tc>
        <w:tc>
          <w:tcPr>
            <w:tcW w:w="873" w:type="dxa"/>
            <w:vAlign w:val="center"/>
          </w:tcPr>
          <w:p>
            <w:pPr>
              <w:widowControl/>
              <w:spacing w:line="260" w:lineRule="exact"/>
              <w:jc w:val="center"/>
              <w:rPr>
                <w:rFonts w:ascii="宋体" w:hAnsi="宋体" w:eastAsia="仿宋_GB2312" w:cs="宋体"/>
                <w:color w:val="000000"/>
                <w:kern w:val="0"/>
                <w:szCs w:val="21"/>
              </w:rPr>
            </w:pPr>
            <w:r>
              <w:rPr>
                <w:rFonts w:hint="eastAsia" w:ascii="宋体" w:hAnsi="宋体" w:eastAsia="仿宋_GB2312" w:cs="宋体"/>
                <w:color w:val="000000"/>
                <w:kern w:val="0"/>
                <w:szCs w:val="21"/>
              </w:rPr>
              <w:t>12</w:t>
            </w:r>
          </w:p>
        </w:tc>
        <w:tc>
          <w:tcPr>
            <w:tcW w:w="941" w:type="dxa"/>
            <w:vAlign w:val="center"/>
          </w:tcPr>
          <w:p>
            <w:pPr>
              <w:widowControl/>
              <w:spacing w:line="260" w:lineRule="exact"/>
              <w:rPr>
                <w:rFonts w:ascii="宋体" w:hAnsi="宋体" w:eastAsia="仿宋_GB2312" w:cs="宋体"/>
                <w:color w:val="000000"/>
                <w:kern w:val="0"/>
                <w:szCs w:val="21"/>
              </w:rPr>
            </w:pPr>
          </w:p>
        </w:tc>
        <w:tc>
          <w:tcPr>
            <w:tcW w:w="763" w:type="dxa"/>
            <w:vAlign w:val="center"/>
          </w:tcPr>
          <w:p>
            <w:pPr>
              <w:widowControl/>
              <w:spacing w:line="260" w:lineRule="exact"/>
              <w:rPr>
                <w:rFonts w:ascii="宋体" w:hAnsi="宋体" w:eastAsia="仿宋_GB2312" w:cs="宋体"/>
                <w:color w:val="000000"/>
                <w:kern w:val="0"/>
                <w:szCs w:val="21"/>
              </w:rPr>
            </w:pPr>
          </w:p>
        </w:tc>
        <w:tc>
          <w:tcPr>
            <w:tcW w:w="818" w:type="dxa"/>
            <w:vAlign w:val="center"/>
          </w:tcPr>
          <w:p>
            <w:pPr>
              <w:widowControl/>
              <w:spacing w:line="260" w:lineRule="exact"/>
              <w:rPr>
                <w:rFonts w:ascii="宋体"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698" w:type="dxa"/>
            <w:vMerge w:val="restart"/>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服务创新</w:t>
            </w: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1 建立并运行计算机辅助管理系统，运用社区网络、智能技术等信息化手段及其最新科技成果开展管理服务工作；</w:t>
            </w:r>
          </w:p>
        </w:tc>
        <w:tc>
          <w:tcPr>
            <w:tcW w:w="873" w:type="dxa"/>
            <w:vMerge w:val="restart"/>
            <w:vAlign w:val="center"/>
          </w:tcPr>
          <w:p>
            <w:pPr>
              <w:widowControl/>
              <w:spacing w:line="260" w:lineRule="exact"/>
              <w:jc w:val="center"/>
              <w:rPr>
                <w:rFonts w:ascii="宋体" w:hAnsi="宋体" w:eastAsia="仿宋_GB2312" w:cs="宋体"/>
                <w:color w:val="000000"/>
                <w:kern w:val="0"/>
                <w:szCs w:val="21"/>
              </w:rPr>
            </w:pPr>
            <w:r>
              <w:rPr>
                <w:rFonts w:hint="eastAsia" w:ascii="宋体" w:hAnsi="宋体" w:eastAsia="仿宋_GB2312" w:cs="宋体"/>
                <w:color w:val="000000"/>
                <w:kern w:val="0"/>
                <w:szCs w:val="21"/>
              </w:rPr>
              <w:t>5</w:t>
            </w:r>
          </w:p>
        </w:tc>
        <w:tc>
          <w:tcPr>
            <w:tcW w:w="941" w:type="dxa"/>
            <w:vMerge w:val="restart"/>
            <w:vAlign w:val="center"/>
          </w:tcPr>
          <w:p>
            <w:pPr>
              <w:widowControl/>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一项不符合扣1分</w:t>
            </w:r>
          </w:p>
        </w:tc>
        <w:tc>
          <w:tcPr>
            <w:tcW w:w="763" w:type="dxa"/>
            <w:vMerge w:val="restart"/>
            <w:vAlign w:val="center"/>
          </w:tcPr>
          <w:p>
            <w:pPr>
              <w:widowControl/>
              <w:spacing w:line="260" w:lineRule="exact"/>
              <w:rPr>
                <w:rFonts w:ascii="宋体" w:eastAsia="仿宋_GB2312" w:cs="宋体"/>
                <w:color w:val="000000"/>
                <w:kern w:val="0"/>
                <w:szCs w:val="21"/>
              </w:rPr>
            </w:pPr>
          </w:p>
          <w:p>
            <w:pPr>
              <w:widowControl/>
              <w:spacing w:line="260" w:lineRule="exact"/>
              <w:rPr>
                <w:rFonts w:ascii="宋体" w:eastAsia="仿宋_GB2312" w:cs="宋体"/>
                <w:color w:val="000000"/>
                <w:kern w:val="0"/>
                <w:szCs w:val="21"/>
              </w:rPr>
            </w:pPr>
          </w:p>
        </w:tc>
        <w:tc>
          <w:tcPr>
            <w:tcW w:w="818" w:type="dxa"/>
            <w:vMerge w:val="restart"/>
            <w:vAlign w:val="center"/>
          </w:tcPr>
          <w:p>
            <w:pPr>
              <w:widowControl/>
              <w:spacing w:line="260" w:lineRule="exac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2 建立并运行服务质量管理控制</w:t>
            </w:r>
          </w:p>
          <w:p>
            <w:pPr>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系统，运用先进管理工具实施物业服务全过程管控；</w:t>
            </w:r>
          </w:p>
        </w:tc>
        <w:tc>
          <w:tcPr>
            <w:tcW w:w="873" w:type="dxa"/>
            <w:vMerge w:val="continue"/>
            <w:vAlign w:val="center"/>
          </w:tcPr>
          <w:p>
            <w:pPr>
              <w:spacing w:line="260" w:lineRule="exact"/>
              <w:jc w:val="left"/>
              <w:rPr>
                <w:rFonts w:ascii="宋体" w:eastAsia="仿宋_GB2312" w:cs="宋体"/>
                <w:color w:val="000000"/>
                <w:kern w:val="0"/>
                <w:szCs w:val="21"/>
              </w:rPr>
            </w:pPr>
          </w:p>
        </w:tc>
        <w:tc>
          <w:tcPr>
            <w:tcW w:w="941" w:type="dxa"/>
            <w:vMerge w:val="continue"/>
            <w:vAlign w:val="center"/>
          </w:tcPr>
          <w:p>
            <w:pPr>
              <w:spacing w:line="260" w:lineRule="exact"/>
              <w:rPr>
                <w:rFonts w:ascii="宋体" w:eastAsia="仿宋_GB2312" w:cs="宋体"/>
                <w:color w:val="000000"/>
                <w:kern w:val="0"/>
                <w:szCs w:val="21"/>
              </w:rPr>
            </w:pPr>
          </w:p>
        </w:tc>
        <w:tc>
          <w:tcPr>
            <w:tcW w:w="763" w:type="dxa"/>
            <w:vMerge w:val="continue"/>
            <w:vAlign w:val="center"/>
          </w:tcPr>
          <w:p>
            <w:pPr>
              <w:spacing w:line="260" w:lineRule="exact"/>
              <w:rPr>
                <w:rFonts w:ascii="宋体" w:eastAsia="仿宋_GB2312" w:cs="宋体"/>
                <w:color w:val="000000"/>
                <w:kern w:val="0"/>
                <w:szCs w:val="21"/>
              </w:rPr>
            </w:pPr>
          </w:p>
        </w:tc>
        <w:tc>
          <w:tcPr>
            <w:tcW w:w="818" w:type="dxa"/>
            <w:vMerge w:val="continue"/>
            <w:vAlign w:val="center"/>
          </w:tcPr>
          <w:p>
            <w:pPr>
              <w:widowControl/>
              <w:spacing w:line="260" w:lineRule="exac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3 制定并实施节能减排计划和方案，运用技术改造和管理创新等手段节约公用能源资源消耗，减少污染物排放；</w:t>
            </w:r>
          </w:p>
        </w:tc>
        <w:tc>
          <w:tcPr>
            <w:tcW w:w="873" w:type="dxa"/>
            <w:vMerge w:val="continue"/>
            <w:vAlign w:val="center"/>
          </w:tcPr>
          <w:p>
            <w:pPr>
              <w:widowControl/>
              <w:spacing w:line="260" w:lineRule="exact"/>
              <w:jc w:val="left"/>
              <w:rPr>
                <w:rFonts w:ascii="宋体" w:eastAsia="仿宋_GB2312" w:cs="宋体"/>
                <w:color w:val="000000"/>
                <w:kern w:val="0"/>
                <w:szCs w:val="21"/>
              </w:rPr>
            </w:pPr>
          </w:p>
        </w:tc>
        <w:tc>
          <w:tcPr>
            <w:tcW w:w="941" w:type="dxa"/>
            <w:vMerge w:val="continue"/>
            <w:vAlign w:val="center"/>
          </w:tcPr>
          <w:p>
            <w:pPr>
              <w:widowControl/>
              <w:spacing w:line="260" w:lineRule="exact"/>
              <w:jc w:val="left"/>
              <w:rPr>
                <w:rFonts w:ascii="宋体" w:eastAsia="仿宋_GB2312" w:cs="宋体"/>
                <w:color w:val="000000"/>
                <w:kern w:val="0"/>
                <w:szCs w:val="21"/>
              </w:rPr>
            </w:pPr>
          </w:p>
        </w:tc>
        <w:tc>
          <w:tcPr>
            <w:tcW w:w="763" w:type="dxa"/>
            <w:vMerge w:val="continue"/>
            <w:vAlign w:val="center"/>
          </w:tcPr>
          <w:p>
            <w:pPr>
              <w:widowControl/>
              <w:spacing w:line="260" w:lineRule="exact"/>
              <w:jc w:val="left"/>
              <w:rPr>
                <w:rFonts w:ascii="宋体" w:eastAsia="仿宋_GB2312" w:cs="宋体"/>
                <w:color w:val="000000"/>
                <w:kern w:val="0"/>
                <w:szCs w:val="21"/>
              </w:rPr>
            </w:pPr>
          </w:p>
        </w:tc>
        <w:tc>
          <w:tcPr>
            <w:tcW w:w="818" w:type="dxa"/>
            <w:vMerge w:val="continue"/>
            <w:vAlign w:val="center"/>
          </w:tcPr>
          <w:p>
            <w:pPr>
              <w:widowControl/>
              <w:spacing w:line="260" w:lineRule="exact"/>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4 根据本项目的特点和物业服务合同的约定，制定并实施符合公共活动需要的便捷高效的安全、保密和防干扰制度，最大限度地满足客户的需求；</w:t>
            </w:r>
          </w:p>
        </w:tc>
        <w:tc>
          <w:tcPr>
            <w:tcW w:w="873" w:type="dxa"/>
            <w:vMerge w:val="continue"/>
            <w:vAlign w:val="center"/>
          </w:tcPr>
          <w:p>
            <w:pPr>
              <w:widowControl/>
              <w:spacing w:line="260" w:lineRule="exact"/>
              <w:jc w:val="left"/>
              <w:rPr>
                <w:rFonts w:ascii="宋体" w:eastAsia="仿宋_GB2312" w:cs="宋体"/>
                <w:color w:val="000000"/>
                <w:kern w:val="0"/>
                <w:szCs w:val="21"/>
              </w:rPr>
            </w:pPr>
          </w:p>
        </w:tc>
        <w:tc>
          <w:tcPr>
            <w:tcW w:w="941" w:type="dxa"/>
            <w:vMerge w:val="continue"/>
            <w:vAlign w:val="center"/>
          </w:tcPr>
          <w:p>
            <w:pPr>
              <w:widowControl/>
              <w:spacing w:line="260" w:lineRule="exact"/>
              <w:jc w:val="left"/>
              <w:rPr>
                <w:rFonts w:ascii="宋体" w:eastAsia="仿宋_GB2312" w:cs="宋体"/>
                <w:color w:val="000000"/>
                <w:kern w:val="0"/>
                <w:szCs w:val="21"/>
              </w:rPr>
            </w:pPr>
          </w:p>
        </w:tc>
        <w:tc>
          <w:tcPr>
            <w:tcW w:w="763" w:type="dxa"/>
            <w:vMerge w:val="continue"/>
            <w:vAlign w:val="center"/>
          </w:tcPr>
          <w:p>
            <w:pPr>
              <w:widowControl/>
              <w:spacing w:line="260" w:lineRule="exact"/>
              <w:jc w:val="left"/>
              <w:rPr>
                <w:rFonts w:ascii="宋体" w:eastAsia="仿宋_GB2312" w:cs="宋体"/>
                <w:color w:val="000000"/>
                <w:kern w:val="0"/>
                <w:szCs w:val="21"/>
              </w:rPr>
            </w:pPr>
          </w:p>
        </w:tc>
        <w:tc>
          <w:tcPr>
            <w:tcW w:w="818" w:type="dxa"/>
            <w:vMerge w:val="continue"/>
            <w:vAlign w:val="center"/>
          </w:tcPr>
          <w:p>
            <w:pPr>
              <w:widowControl/>
              <w:spacing w:line="260" w:lineRule="exact"/>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5 建立并推行新型商业模式，通过提供物业资产经营管理服务以及会议接待服务、后勤配套服务等方式，最大限度地实现客户的价值。</w:t>
            </w:r>
          </w:p>
        </w:tc>
        <w:tc>
          <w:tcPr>
            <w:tcW w:w="873" w:type="dxa"/>
            <w:vMerge w:val="continue"/>
            <w:vAlign w:val="center"/>
          </w:tcPr>
          <w:p>
            <w:pPr>
              <w:widowControl/>
              <w:spacing w:line="260" w:lineRule="exact"/>
              <w:jc w:val="left"/>
              <w:rPr>
                <w:rFonts w:ascii="宋体" w:eastAsia="仿宋_GB2312" w:cs="宋体"/>
                <w:color w:val="000000"/>
                <w:kern w:val="0"/>
                <w:szCs w:val="21"/>
              </w:rPr>
            </w:pPr>
          </w:p>
        </w:tc>
        <w:tc>
          <w:tcPr>
            <w:tcW w:w="941" w:type="dxa"/>
            <w:vMerge w:val="continue"/>
            <w:vAlign w:val="center"/>
          </w:tcPr>
          <w:p>
            <w:pPr>
              <w:widowControl/>
              <w:spacing w:line="260" w:lineRule="exact"/>
              <w:jc w:val="left"/>
              <w:rPr>
                <w:rFonts w:ascii="宋体" w:eastAsia="仿宋_GB2312" w:cs="宋体"/>
                <w:color w:val="000000"/>
                <w:kern w:val="0"/>
                <w:szCs w:val="21"/>
              </w:rPr>
            </w:pPr>
          </w:p>
        </w:tc>
        <w:tc>
          <w:tcPr>
            <w:tcW w:w="763" w:type="dxa"/>
            <w:vMerge w:val="continue"/>
            <w:vAlign w:val="center"/>
          </w:tcPr>
          <w:p>
            <w:pPr>
              <w:widowControl/>
              <w:spacing w:line="260" w:lineRule="exact"/>
              <w:jc w:val="left"/>
              <w:rPr>
                <w:rFonts w:ascii="宋体" w:eastAsia="仿宋_GB2312" w:cs="宋体"/>
                <w:color w:val="000000"/>
                <w:kern w:val="0"/>
                <w:szCs w:val="21"/>
              </w:rPr>
            </w:pPr>
          </w:p>
        </w:tc>
        <w:tc>
          <w:tcPr>
            <w:tcW w:w="818" w:type="dxa"/>
            <w:vMerge w:val="continue"/>
            <w:vAlign w:val="center"/>
          </w:tcPr>
          <w:p>
            <w:pPr>
              <w:widowControl/>
              <w:spacing w:line="260" w:lineRule="exact"/>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98" w:type="dxa"/>
            <w:vMerge w:val="restart"/>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经营效益</w:t>
            </w: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1 业主交费主动及时，收费率达95%以上；</w:t>
            </w:r>
          </w:p>
        </w:tc>
        <w:tc>
          <w:tcPr>
            <w:tcW w:w="873" w:type="dxa"/>
            <w:vMerge w:val="restart"/>
            <w:vAlign w:val="center"/>
          </w:tcPr>
          <w:p>
            <w:pPr>
              <w:widowControl/>
              <w:spacing w:line="260" w:lineRule="exact"/>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2</w:t>
            </w:r>
          </w:p>
        </w:tc>
        <w:tc>
          <w:tcPr>
            <w:tcW w:w="941" w:type="dxa"/>
            <w:vMerge w:val="restart"/>
            <w:vAlign w:val="center"/>
          </w:tcPr>
          <w:p>
            <w:pPr>
              <w:widowControl/>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一项不符合扣1分</w:t>
            </w:r>
          </w:p>
        </w:tc>
        <w:tc>
          <w:tcPr>
            <w:tcW w:w="763" w:type="dxa"/>
            <w:vMerge w:val="restart"/>
            <w:vAlign w:val="center"/>
          </w:tcPr>
          <w:p>
            <w:pPr>
              <w:widowControl/>
              <w:spacing w:line="260" w:lineRule="exact"/>
              <w:rPr>
                <w:rFonts w:ascii="宋体" w:eastAsia="仿宋_GB2312" w:cs="宋体"/>
                <w:color w:val="000000"/>
                <w:kern w:val="0"/>
                <w:szCs w:val="21"/>
              </w:rPr>
            </w:pPr>
          </w:p>
        </w:tc>
        <w:tc>
          <w:tcPr>
            <w:tcW w:w="818" w:type="dxa"/>
            <w:vMerge w:val="restart"/>
            <w:vAlign w:val="center"/>
          </w:tcPr>
          <w:p>
            <w:pPr>
              <w:widowControl/>
              <w:spacing w:line="260" w:lineRule="exac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698" w:type="dxa"/>
            <w:vMerge w:val="continue"/>
            <w:vAlign w:val="center"/>
          </w:tcPr>
          <w:p>
            <w:pPr>
              <w:widowControl/>
              <w:jc w:val="center"/>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2 项目两个年度以上持续盈利，经营状况良好。</w:t>
            </w:r>
          </w:p>
        </w:tc>
        <w:tc>
          <w:tcPr>
            <w:tcW w:w="873" w:type="dxa"/>
            <w:vMerge w:val="continue"/>
            <w:vAlign w:val="center"/>
          </w:tcPr>
          <w:p>
            <w:pPr>
              <w:widowControl/>
              <w:spacing w:line="260" w:lineRule="exact"/>
              <w:jc w:val="left"/>
              <w:rPr>
                <w:rFonts w:ascii="宋体" w:eastAsia="仿宋_GB2312" w:cs="宋体"/>
                <w:color w:val="000000"/>
                <w:kern w:val="0"/>
                <w:szCs w:val="21"/>
              </w:rPr>
            </w:pPr>
          </w:p>
        </w:tc>
        <w:tc>
          <w:tcPr>
            <w:tcW w:w="941" w:type="dxa"/>
            <w:vMerge w:val="continue"/>
            <w:vAlign w:val="center"/>
          </w:tcPr>
          <w:p>
            <w:pPr>
              <w:widowControl/>
              <w:spacing w:line="260" w:lineRule="exact"/>
              <w:jc w:val="left"/>
              <w:rPr>
                <w:rFonts w:ascii="宋体" w:eastAsia="仿宋_GB2312" w:cs="宋体"/>
                <w:color w:val="000000"/>
                <w:kern w:val="0"/>
                <w:szCs w:val="21"/>
              </w:rPr>
            </w:pPr>
          </w:p>
        </w:tc>
        <w:tc>
          <w:tcPr>
            <w:tcW w:w="763" w:type="dxa"/>
            <w:vMerge w:val="continue"/>
            <w:vAlign w:val="center"/>
          </w:tcPr>
          <w:p>
            <w:pPr>
              <w:widowControl/>
              <w:spacing w:line="260" w:lineRule="exact"/>
              <w:jc w:val="left"/>
              <w:rPr>
                <w:rFonts w:ascii="宋体" w:eastAsia="仿宋_GB2312" w:cs="宋体"/>
                <w:color w:val="000000"/>
                <w:kern w:val="0"/>
                <w:szCs w:val="21"/>
              </w:rPr>
            </w:pPr>
          </w:p>
        </w:tc>
        <w:tc>
          <w:tcPr>
            <w:tcW w:w="818" w:type="dxa"/>
            <w:vMerge w:val="continue"/>
            <w:vAlign w:val="center"/>
          </w:tcPr>
          <w:p>
            <w:pPr>
              <w:widowControl/>
              <w:spacing w:line="260" w:lineRule="exact"/>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1698" w:type="dxa"/>
            <w:vMerge w:val="restart"/>
            <w:vAlign w:val="center"/>
          </w:tcPr>
          <w:p>
            <w:pPr>
              <w:widowControl/>
              <w:jc w:val="center"/>
              <w:rPr>
                <w:rFonts w:ascii="宋体" w:eastAsia="仿宋_GB2312" w:cs="宋体"/>
                <w:color w:val="000000"/>
                <w:kern w:val="0"/>
                <w:szCs w:val="21"/>
              </w:rPr>
            </w:pPr>
            <w:r>
              <w:rPr>
                <w:rFonts w:hint="eastAsia" w:ascii="宋体" w:hAnsi="宋体" w:eastAsia="仿宋_GB2312" w:cs="宋体"/>
                <w:color w:val="000000"/>
                <w:kern w:val="0"/>
                <w:szCs w:val="21"/>
              </w:rPr>
              <w:t>客户满意</w:t>
            </w: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1 根据本项目的特点，针对业主、租户、使用人、访客等不同的客户群体分别制定并实施不同的服务、沟通和评价体系；</w:t>
            </w:r>
          </w:p>
        </w:tc>
        <w:tc>
          <w:tcPr>
            <w:tcW w:w="873" w:type="dxa"/>
            <w:vMerge w:val="restart"/>
            <w:vAlign w:val="center"/>
          </w:tcPr>
          <w:p>
            <w:pPr>
              <w:widowControl/>
              <w:spacing w:line="260" w:lineRule="exact"/>
              <w:ind w:firstLine="210" w:firstLineChars="100"/>
              <w:jc w:val="left"/>
              <w:rPr>
                <w:rFonts w:ascii="宋体" w:hAnsi="宋体" w:eastAsia="仿宋_GB2312" w:cs="宋体"/>
                <w:color w:val="000000"/>
                <w:kern w:val="0"/>
                <w:szCs w:val="21"/>
              </w:rPr>
            </w:pPr>
            <w:r>
              <w:rPr>
                <w:rFonts w:hint="eastAsia" w:ascii="宋体" w:hAnsi="宋体" w:eastAsia="仿宋_GB2312" w:cs="宋体"/>
                <w:color w:val="000000"/>
                <w:kern w:val="0"/>
                <w:szCs w:val="21"/>
              </w:rPr>
              <w:t>5</w:t>
            </w:r>
          </w:p>
        </w:tc>
        <w:tc>
          <w:tcPr>
            <w:tcW w:w="941" w:type="dxa"/>
            <w:vMerge w:val="restart"/>
            <w:vAlign w:val="center"/>
          </w:tcPr>
          <w:p>
            <w:pPr>
              <w:widowControl/>
              <w:spacing w:line="260" w:lineRule="exact"/>
              <w:rPr>
                <w:rFonts w:ascii="宋体" w:eastAsia="仿宋_GB2312" w:cs="宋体"/>
                <w:color w:val="000000"/>
                <w:kern w:val="0"/>
                <w:szCs w:val="21"/>
              </w:rPr>
            </w:pPr>
            <w:r>
              <w:rPr>
                <w:rFonts w:hint="eastAsia" w:ascii="宋体" w:hAnsi="宋体" w:eastAsia="仿宋_GB2312" w:cs="宋体"/>
                <w:color w:val="000000"/>
                <w:kern w:val="0"/>
                <w:szCs w:val="21"/>
              </w:rPr>
              <w:t>一项不符合扣1分</w:t>
            </w:r>
          </w:p>
        </w:tc>
        <w:tc>
          <w:tcPr>
            <w:tcW w:w="763" w:type="dxa"/>
            <w:vMerge w:val="restart"/>
            <w:vAlign w:val="center"/>
          </w:tcPr>
          <w:p>
            <w:pPr>
              <w:widowControl/>
              <w:spacing w:line="260" w:lineRule="exact"/>
              <w:rPr>
                <w:rFonts w:ascii="宋体" w:eastAsia="仿宋_GB2312" w:cs="宋体"/>
                <w:color w:val="000000"/>
                <w:kern w:val="0"/>
                <w:szCs w:val="21"/>
              </w:rPr>
            </w:pPr>
          </w:p>
          <w:p>
            <w:pPr>
              <w:widowControl/>
              <w:spacing w:line="260" w:lineRule="exact"/>
              <w:rPr>
                <w:rFonts w:ascii="宋体" w:eastAsia="仿宋_GB2312" w:cs="宋体"/>
                <w:color w:val="000000"/>
                <w:kern w:val="0"/>
                <w:szCs w:val="21"/>
              </w:rPr>
            </w:pPr>
          </w:p>
        </w:tc>
        <w:tc>
          <w:tcPr>
            <w:tcW w:w="818" w:type="dxa"/>
            <w:vMerge w:val="restart"/>
            <w:vAlign w:val="center"/>
          </w:tcPr>
          <w:p>
            <w:pPr>
              <w:widowControl/>
              <w:spacing w:line="260" w:lineRule="exac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2 每年至少开展一次客户满意率调查，调查覆盖率不低于80%，具备条件的，可邀请第三方机构开展客户满意度测评；</w:t>
            </w:r>
          </w:p>
        </w:tc>
        <w:tc>
          <w:tcPr>
            <w:tcW w:w="873" w:type="dxa"/>
            <w:vMerge w:val="continue"/>
            <w:vAlign w:val="center"/>
          </w:tcPr>
          <w:p>
            <w:pPr>
              <w:widowControl/>
              <w:spacing w:line="260" w:lineRule="exact"/>
              <w:jc w:val="left"/>
              <w:rPr>
                <w:rFonts w:ascii="宋体" w:hAnsi="宋体" w:eastAsia="仿宋_GB2312" w:cs="宋体"/>
                <w:color w:val="000000"/>
                <w:kern w:val="0"/>
                <w:szCs w:val="21"/>
              </w:rPr>
            </w:pPr>
          </w:p>
        </w:tc>
        <w:tc>
          <w:tcPr>
            <w:tcW w:w="941" w:type="dxa"/>
            <w:vMerge w:val="continue"/>
            <w:vAlign w:val="center"/>
          </w:tcPr>
          <w:p>
            <w:pPr>
              <w:widowControl/>
              <w:spacing w:line="260" w:lineRule="exact"/>
              <w:jc w:val="left"/>
              <w:rPr>
                <w:rFonts w:ascii="宋体" w:eastAsia="仿宋_GB2312" w:cs="宋体"/>
                <w:color w:val="000000"/>
                <w:kern w:val="0"/>
                <w:szCs w:val="21"/>
              </w:rPr>
            </w:pPr>
          </w:p>
        </w:tc>
        <w:tc>
          <w:tcPr>
            <w:tcW w:w="763" w:type="dxa"/>
            <w:vMerge w:val="continue"/>
            <w:vAlign w:val="center"/>
          </w:tcPr>
          <w:p>
            <w:pPr>
              <w:widowControl/>
              <w:spacing w:line="260" w:lineRule="exact"/>
              <w:jc w:val="left"/>
              <w:rPr>
                <w:rFonts w:ascii="宋体" w:eastAsia="仿宋_GB2312" w:cs="宋体"/>
                <w:color w:val="000000"/>
                <w:kern w:val="0"/>
                <w:szCs w:val="21"/>
              </w:rPr>
            </w:pPr>
          </w:p>
        </w:tc>
        <w:tc>
          <w:tcPr>
            <w:tcW w:w="818" w:type="dxa"/>
            <w:vMerge w:val="continue"/>
            <w:vAlign w:val="center"/>
          </w:tcPr>
          <w:p>
            <w:pPr>
              <w:widowControl/>
              <w:spacing w:line="260" w:lineRule="exact"/>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3 客户满意率应达95%以上，客户满意指数应达到80或比较满意程度以上；</w:t>
            </w:r>
          </w:p>
        </w:tc>
        <w:tc>
          <w:tcPr>
            <w:tcW w:w="873" w:type="dxa"/>
            <w:vMerge w:val="continue"/>
            <w:vAlign w:val="center"/>
          </w:tcPr>
          <w:p>
            <w:pPr>
              <w:widowControl/>
              <w:spacing w:line="260" w:lineRule="exact"/>
              <w:jc w:val="left"/>
              <w:rPr>
                <w:rFonts w:ascii="宋体" w:hAnsi="宋体" w:eastAsia="仿宋_GB2312" w:cs="宋体"/>
                <w:color w:val="000000"/>
                <w:kern w:val="0"/>
                <w:szCs w:val="21"/>
              </w:rPr>
            </w:pPr>
          </w:p>
        </w:tc>
        <w:tc>
          <w:tcPr>
            <w:tcW w:w="941" w:type="dxa"/>
            <w:vMerge w:val="continue"/>
            <w:vAlign w:val="center"/>
          </w:tcPr>
          <w:p>
            <w:pPr>
              <w:widowControl/>
              <w:spacing w:line="260" w:lineRule="exact"/>
              <w:jc w:val="left"/>
              <w:rPr>
                <w:rFonts w:ascii="宋体" w:eastAsia="仿宋_GB2312" w:cs="宋体"/>
                <w:color w:val="000000"/>
                <w:kern w:val="0"/>
                <w:szCs w:val="21"/>
              </w:rPr>
            </w:pPr>
          </w:p>
        </w:tc>
        <w:tc>
          <w:tcPr>
            <w:tcW w:w="763" w:type="dxa"/>
            <w:vMerge w:val="continue"/>
            <w:vAlign w:val="center"/>
          </w:tcPr>
          <w:p>
            <w:pPr>
              <w:widowControl/>
              <w:spacing w:line="260" w:lineRule="exact"/>
              <w:jc w:val="left"/>
              <w:rPr>
                <w:rFonts w:ascii="宋体" w:eastAsia="仿宋_GB2312" w:cs="宋体"/>
                <w:color w:val="000000"/>
                <w:kern w:val="0"/>
                <w:szCs w:val="21"/>
              </w:rPr>
            </w:pPr>
          </w:p>
        </w:tc>
        <w:tc>
          <w:tcPr>
            <w:tcW w:w="818" w:type="dxa"/>
            <w:vMerge w:val="continue"/>
            <w:vAlign w:val="center"/>
          </w:tcPr>
          <w:p>
            <w:pPr>
              <w:widowControl/>
              <w:spacing w:line="260" w:lineRule="exact"/>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4 满意率调查和满意度测评的内容应涵盖本标准的内容及物业服务合同的约定；</w:t>
            </w:r>
          </w:p>
        </w:tc>
        <w:tc>
          <w:tcPr>
            <w:tcW w:w="873" w:type="dxa"/>
            <w:vMerge w:val="continue"/>
            <w:vAlign w:val="center"/>
          </w:tcPr>
          <w:p>
            <w:pPr>
              <w:widowControl/>
              <w:spacing w:line="260" w:lineRule="exact"/>
              <w:jc w:val="left"/>
              <w:rPr>
                <w:rFonts w:ascii="宋体" w:hAnsi="宋体" w:eastAsia="仿宋_GB2312" w:cs="宋体"/>
                <w:color w:val="000000"/>
                <w:kern w:val="0"/>
                <w:szCs w:val="21"/>
              </w:rPr>
            </w:pPr>
          </w:p>
        </w:tc>
        <w:tc>
          <w:tcPr>
            <w:tcW w:w="941" w:type="dxa"/>
            <w:vMerge w:val="continue"/>
            <w:vAlign w:val="center"/>
          </w:tcPr>
          <w:p>
            <w:pPr>
              <w:widowControl/>
              <w:spacing w:line="260" w:lineRule="exact"/>
              <w:jc w:val="left"/>
              <w:rPr>
                <w:rFonts w:ascii="宋体" w:eastAsia="仿宋_GB2312" w:cs="宋体"/>
                <w:color w:val="000000"/>
                <w:kern w:val="0"/>
                <w:szCs w:val="21"/>
              </w:rPr>
            </w:pPr>
          </w:p>
        </w:tc>
        <w:tc>
          <w:tcPr>
            <w:tcW w:w="763" w:type="dxa"/>
            <w:vMerge w:val="continue"/>
            <w:vAlign w:val="center"/>
          </w:tcPr>
          <w:p>
            <w:pPr>
              <w:widowControl/>
              <w:spacing w:line="260" w:lineRule="exact"/>
              <w:jc w:val="left"/>
              <w:rPr>
                <w:rFonts w:ascii="宋体" w:eastAsia="仿宋_GB2312" w:cs="宋体"/>
                <w:color w:val="000000"/>
                <w:kern w:val="0"/>
                <w:szCs w:val="21"/>
              </w:rPr>
            </w:pPr>
          </w:p>
        </w:tc>
        <w:tc>
          <w:tcPr>
            <w:tcW w:w="818" w:type="dxa"/>
            <w:vMerge w:val="continue"/>
            <w:vAlign w:val="center"/>
          </w:tcPr>
          <w:p>
            <w:pPr>
              <w:widowControl/>
              <w:spacing w:line="260" w:lineRule="exact"/>
              <w:jc w:val="left"/>
              <w:rPr>
                <w:rFonts w:asci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698" w:type="dxa"/>
            <w:vMerge w:val="continue"/>
            <w:vAlign w:val="center"/>
          </w:tcPr>
          <w:p>
            <w:pPr>
              <w:widowControl/>
              <w:jc w:val="left"/>
              <w:rPr>
                <w:rFonts w:ascii="宋体" w:eastAsia="仿宋_GB2312" w:cs="宋体"/>
                <w:color w:val="000000"/>
                <w:kern w:val="0"/>
                <w:szCs w:val="21"/>
              </w:rPr>
            </w:pPr>
          </w:p>
        </w:tc>
        <w:tc>
          <w:tcPr>
            <w:tcW w:w="3641" w:type="dxa"/>
            <w:vAlign w:val="center"/>
          </w:tcPr>
          <w:p>
            <w:pPr>
              <w:widowControl/>
              <w:spacing w:line="240" w:lineRule="exact"/>
              <w:rPr>
                <w:rFonts w:ascii="宋体" w:eastAsia="仿宋_GB2312" w:cs="宋体"/>
                <w:color w:val="000000"/>
                <w:kern w:val="0"/>
                <w:szCs w:val="21"/>
              </w:rPr>
            </w:pPr>
            <w:r>
              <w:rPr>
                <w:rFonts w:hint="eastAsia" w:ascii="宋体" w:hAnsi="宋体" w:eastAsia="仿宋_GB2312" w:cs="宋体"/>
                <w:color w:val="000000"/>
                <w:kern w:val="0"/>
                <w:szCs w:val="21"/>
              </w:rPr>
              <w:t>5 调查和测评结果有书面报告并向客户公示，调查和测评发现的问题持续改进，改进结果向客户公示。</w:t>
            </w:r>
          </w:p>
        </w:tc>
        <w:tc>
          <w:tcPr>
            <w:tcW w:w="873" w:type="dxa"/>
            <w:vMerge w:val="continue"/>
            <w:vAlign w:val="center"/>
          </w:tcPr>
          <w:p>
            <w:pPr>
              <w:widowControl/>
              <w:spacing w:line="260" w:lineRule="exact"/>
              <w:jc w:val="left"/>
              <w:rPr>
                <w:rFonts w:ascii="宋体" w:hAnsi="宋体" w:eastAsia="仿宋_GB2312" w:cs="宋体"/>
                <w:color w:val="000000"/>
                <w:kern w:val="0"/>
                <w:szCs w:val="21"/>
              </w:rPr>
            </w:pPr>
          </w:p>
        </w:tc>
        <w:tc>
          <w:tcPr>
            <w:tcW w:w="941" w:type="dxa"/>
            <w:vMerge w:val="continue"/>
            <w:vAlign w:val="center"/>
          </w:tcPr>
          <w:p>
            <w:pPr>
              <w:widowControl/>
              <w:spacing w:line="260" w:lineRule="exact"/>
              <w:jc w:val="left"/>
              <w:rPr>
                <w:rFonts w:ascii="宋体" w:eastAsia="仿宋_GB2312" w:cs="宋体"/>
                <w:color w:val="000000"/>
                <w:kern w:val="0"/>
                <w:szCs w:val="21"/>
              </w:rPr>
            </w:pPr>
          </w:p>
        </w:tc>
        <w:tc>
          <w:tcPr>
            <w:tcW w:w="763" w:type="dxa"/>
            <w:vMerge w:val="continue"/>
            <w:vAlign w:val="center"/>
          </w:tcPr>
          <w:p>
            <w:pPr>
              <w:widowControl/>
              <w:spacing w:line="260" w:lineRule="exact"/>
              <w:jc w:val="left"/>
              <w:rPr>
                <w:rFonts w:ascii="宋体" w:eastAsia="仿宋_GB2312" w:cs="宋体"/>
                <w:color w:val="000000"/>
                <w:kern w:val="0"/>
                <w:szCs w:val="21"/>
              </w:rPr>
            </w:pPr>
          </w:p>
        </w:tc>
        <w:tc>
          <w:tcPr>
            <w:tcW w:w="818" w:type="dxa"/>
            <w:vMerge w:val="continue"/>
            <w:vAlign w:val="center"/>
          </w:tcPr>
          <w:p>
            <w:pPr>
              <w:widowControl/>
              <w:spacing w:line="260" w:lineRule="exact"/>
              <w:jc w:val="left"/>
              <w:rPr>
                <w:rFonts w:ascii="宋体" w:eastAsia="仿宋_GB2312" w:cs="宋体"/>
                <w:color w:val="000000"/>
                <w:kern w:val="0"/>
                <w:szCs w:val="21"/>
              </w:rPr>
            </w:pPr>
          </w:p>
        </w:tc>
      </w:tr>
    </w:tbl>
    <w:p>
      <w:pPr>
        <w:rPr>
          <w:rFonts w:ascii="宋体" w:hAnsi="Calibri"/>
          <w:szCs w:val="21"/>
        </w:rPr>
      </w:pPr>
    </w:p>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t xml:space="preserve">— </w:t>
                </w:r>
                <w:r>
                  <w:fldChar w:fldCharType="begin"/>
                </w:r>
                <w:r>
                  <w:instrText xml:space="preserve"> PAGE  \* MERGEFORMAT </w:instrText>
                </w:r>
                <w:r>
                  <w:fldChar w:fldCharType="separate"/>
                </w:r>
                <w:r>
                  <w:t>5</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zNDg5NjExNzRjMjg3ZjNhNWU3YTQ5ZDU4OGM3MTgifQ=="/>
  </w:docVars>
  <w:rsids>
    <w:rsidRoot w:val="00FF4488"/>
    <w:rsid w:val="00000385"/>
    <w:rsid w:val="00002FEF"/>
    <w:rsid w:val="00011287"/>
    <w:rsid w:val="00027CC4"/>
    <w:rsid w:val="00030373"/>
    <w:rsid w:val="000414F9"/>
    <w:rsid w:val="000471DF"/>
    <w:rsid w:val="00081D1C"/>
    <w:rsid w:val="000C0D5D"/>
    <w:rsid w:val="000F2231"/>
    <w:rsid w:val="000F4C92"/>
    <w:rsid w:val="0013545B"/>
    <w:rsid w:val="00146368"/>
    <w:rsid w:val="00172E5D"/>
    <w:rsid w:val="001D25BE"/>
    <w:rsid w:val="001E364C"/>
    <w:rsid w:val="00207F9F"/>
    <w:rsid w:val="002842A8"/>
    <w:rsid w:val="002A1388"/>
    <w:rsid w:val="002A354D"/>
    <w:rsid w:val="002E507A"/>
    <w:rsid w:val="00323BBF"/>
    <w:rsid w:val="0037419C"/>
    <w:rsid w:val="0039420A"/>
    <w:rsid w:val="003C13F5"/>
    <w:rsid w:val="003D12F6"/>
    <w:rsid w:val="004723B8"/>
    <w:rsid w:val="004726F1"/>
    <w:rsid w:val="004B777B"/>
    <w:rsid w:val="00507BA6"/>
    <w:rsid w:val="00523B89"/>
    <w:rsid w:val="0055698D"/>
    <w:rsid w:val="00591A60"/>
    <w:rsid w:val="005B7A48"/>
    <w:rsid w:val="00636860"/>
    <w:rsid w:val="006C2136"/>
    <w:rsid w:val="00763F51"/>
    <w:rsid w:val="007C67BA"/>
    <w:rsid w:val="007E64E4"/>
    <w:rsid w:val="007F21CF"/>
    <w:rsid w:val="008A75A2"/>
    <w:rsid w:val="00924A84"/>
    <w:rsid w:val="00937E8A"/>
    <w:rsid w:val="00967D8F"/>
    <w:rsid w:val="00987A81"/>
    <w:rsid w:val="009C3A25"/>
    <w:rsid w:val="009D17AE"/>
    <w:rsid w:val="009D6D91"/>
    <w:rsid w:val="00A40149"/>
    <w:rsid w:val="00A62031"/>
    <w:rsid w:val="00A81E41"/>
    <w:rsid w:val="00A85302"/>
    <w:rsid w:val="00B23BFA"/>
    <w:rsid w:val="00C34575"/>
    <w:rsid w:val="00C5750B"/>
    <w:rsid w:val="00C83423"/>
    <w:rsid w:val="00D450DB"/>
    <w:rsid w:val="00D862B7"/>
    <w:rsid w:val="00DB03F9"/>
    <w:rsid w:val="00DF5E70"/>
    <w:rsid w:val="00EA2FC6"/>
    <w:rsid w:val="00EC478E"/>
    <w:rsid w:val="00ED0123"/>
    <w:rsid w:val="00F02293"/>
    <w:rsid w:val="00F15B89"/>
    <w:rsid w:val="00F21098"/>
    <w:rsid w:val="00F31CE3"/>
    <w:rsid w:val="00F6260E"/>
    <w:rsid w:val="00FF4488"/>
    <w:rsid w:val="06167211"/>
    <w:rsid w:val="232D4BD0"/>
    <w:rsid w:val="25A53DC9"/>
    <w:rsid w:val="28E9444C"/>
    <w:rsid w:val="2CB649F1"/>
    <w:rsid w:val="389123E3"/>
    <w:rsid w:val="43680737"/>
    <w:rsid w:val="638F7CC8"/>
    <w:rsid w:val="63D04709"/>
    <w:rsid w:val="68412B98"/>
    <w:rsid w:val="73160F15"/>
    <w:rsid w:val="790A14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tLeast"/>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jc w:val="left"/>
    </w:pPr>
    <w:rPr>
      <w:spacing w:val="-25"/>
    </w:rPr>
  </w:style>
  <w:style w:type="paragraph" w:styleId="4">
    <w:name w:val="Balloon Text"/>
    <w:basedOn w:val="1"/>
    <w:link w:val="28"/>
    <w:semiHidden/>
    <w:unhideWhenUsed/>
    <w:qFormat/>
    <w:uiPriority w:val="99"/>
    <w:rPr>
      <w:rFonts w:ascii="Calibri" w:hAnsi="Calibri" w:eastAsiaTheme="minorEastAsia" w:cstheme="minorBidi"/>
      <w:sz w:val="18"/>
      <w:szCs w:val="18"/>
    </w:rPr>
  </w:style>
  <w:style w:type="paragraph" w:styleId="5">
    <w:name w:val="footer"/>
    <w:basedOn w:val="1"/>
    <w:link w:val="18"/>
    <w:qFormat/>
    <w:uiPriority w:val="99"/>
    <w:pPr>
      <w:tabs>
        <w:tab w:val="center" w:pos="4153"/>
        <w:tab w:val="right" w:pos="8306"/>
      </w:tabs>
      <w:spacing w:line="400" w:lineRule="atLeast"/>
      <w:jc w:val="center"/>
    </w:pPr>
    <w:rPr>
      <w:sz w:val="28"/>
    </w:rPr>
  </w:style>
  <w:style w:type="paragraph" w:styleId="6">
    <w:name w:val="header"/>
    <w:basedOn w:val="1"/>
    <w:link w:val="20"/>
    <w:qFormat/>
    <w:uiPriority w:val="99"/>
    <w:pPr>
      <w:tabs>
        <w:tab w:val="center" w:pos="4153"/>
        <w:tab w:val="right" w:pos="8306"/>
      </w:tabs>
      <w:spacing w:line="240" w:lineRule="atLeast"/>
      <w:jc w:val="center"/>
    </w:pPr>
    <w:rPr>
      <w:sz w:val="18"/>
    </w:rPr>
  </w:style>
  <w:style w:type="paragraph" w:styleId="7">
    <w:name w:val="Normal (Web)"/>
    <w:basedOn w:val="1"/>
    <w:unhideWhenUsed/>
    <w:qFormat/>
    <w:uiPriority w:val="99"/>
    <w:pPr>
      <w:spacing w:before="100" w:beforeAutospacing="1" w:after="100" w:afterAutospacing="1"/>
      <w:jc w:val="left"/>
    </w:pPr>
    <w:rPr>
      <w:rFonts w:ascii="Calibri" w:hAnsi="Calibri"/>
      <w:kern w:val="0"/>
      <w:sz w:val="24"/>
    </w:rPr>
  </w:style>
  <w:style w:type="table" w:styleId="9">
    <w:name w:val="Table Grid"/>
    <w:basedOn w:val="8"/>
    <w:qFormat/>
    <w:uiPriority w:val="0"/>
    <w:pPr>
      <w:widowControl w:val="0"/>
      <w:autoSpaceDE w:val="0"/>
      <w:autoSpaceDN w:val="0"/>
      <w:snapToGrid w:val="0"/>
      <w:spacing w:line="590" w:lineRule="atLeast"/>
      <w:ind w:firstLine="624"/>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标题 1 Char"/>
    <w:basedOn w:val="10"/>
    <w:link w:val="2"/>
    <w:qFormat/>
    <w:uiPriority w:val="0"/>
    <w:rPr>
      <w:rFonts w:ascii="Times New Roman" w:hAnsi="Times New Roman" w:eastAsia="宋体" w:cs="Times New Roman"/>
      <w:b/>
      <w:kern w:val="44"/>
      <w:sz w:val="44"/>
      <w:szCs w:val="24"/>
    </w:rPr>
  </w:style>
  <w:style w:type="paragraph" w:customStyle="1" w:styleId="13">
    <w:name w:val="附件栏"/>
    <w:basedOn w:val="1"/>
    <w:qFormat/>
    <w:uiPriority w:val="0"/>
  </w:style>
  <w:style w:type="paragraph" w:customStyle="1" w:styleId="14">
    <w:name w:val="抄送栏"/>
    <w:basedOn w:val="1"/>
    <w:qFormat/>
    <w:uiPriority w:val="0"/>
    <w:pPr>
      <w:adjustRightInd w:val="0"/>
      <w:spacing w:line="454" w:lineRule="atLeast"/>
      <w:ind w:left="1310" w:right="357" w:hanging="953"/>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密级"/>
    <w:basedOn w:val="1"/>
    <w:qFormat/>
    <w:uiPriority w:val="0"/>
    <w:pPr>
      <w:adjustRightInd w:val="0"/>
      <w:spacing w:line="440" w:lineRule="atLeast"/>
      <w:jc w:val="right"/>
    </w:pPr>
    <w:rPr>
      <w:rFonts w:ascii="黑体" w:eastAsia="黑体"/>
      <w:kern w:val="0"/>
      <w:sz w:val="30"/>
    </w:rPr>
  </w:style>
  <w:style w:type="paragraph" w:customStyle="1" w:styleId="17">
    <w:name w:val="紧急程度"/>
    <w:basedOn w:val="16"/>
    <w:qFormat/>
    <w:uiPriority w:val="0"/>
    <w:pPr>
      <w:overflowPunct w:val="0"/>
    </w:pPr>
    <w:rPr>
      <w:sz w:val="32"/>
    </w:rPr>
  </w:style>
  <w:style w:type="character" w:customStyle="1" w:styleId="18">
    <w:name w:val="页脚 Char"/>
    <w:basedOn w:val="10"/>
    <w:link w:val="5"/>
    <w:qFormat/>
    <w:uiPriority w:val="99"/>
    <w:rPr>
      <w:rFonts w:ascii="Times New Roman" w:hAnsi="Times New Roman" w:eastAsia="宋体" w:cs="Times New Roman"/>
      <w:sz w:val="28"/>
      <w:szCs w:val="24"/>
    </w:rPr>
  </w:style>
  <w:style w:type="paragraph" w:customStyle="1" w:styleId="19">
    <w:name w:val="标题2"/>
    <w:basedOn w:val="1"/>
    <w:next w:val="1"/>
    <w:qFormat/>
    <w:uiPriority w:val="0"/>
    <w:pPr>
      <w:jc w:val="center"/>
    </w:pPr>
    <w:rPr>
      <w:rFonts w:eastAsia="方正楷体_GBK"/>
    </w:rPr>
  </w:style>
  <w:style w:type="character" w:customStyle="1" w:styleId="20">
    <w:name w:val="页眉 Char"/>
    <w:basedOn w:val="10"/>
    <w:link w:val="6"/>
    <w:qFormat/>
    <w:uiPriority w:val="99"/>
    <w:rPr>
      <w:rFonts w:ascii="Times New Roman" w:hAnsi="Times New Roman" w:eastAsia="宋体" w:cs="Times New Roman"/>
      <w:sz w:val="18"/>
      <w:szCs w:val="24"/>
    </w:rPr>
  </w:style>
  <w:style w:type="paragraph" w:customStyle="1" w:styleId="21">
    <w:name w:val="红线"/>
    <w:basedOn w:val="2"/>
    <w:qFormat/>
    <w:uiPriority w:val="0"/>
    <w:pPr>
      <w:keepNext w:val="0"/>
      <w:keepLines w:val="0"/>
      <w:autoSpaceDE w:val="0"/>
      <w:autoSpaceDN w:val="0"/>
      <w:adjustRightInd w:val="0"/>
      <w:spacing w:before="0" w:after="851" w:line="227" w:lineRule="atLeast"/>
      <w:ind w:right="-142"/>
      <w:jc w:val="center"/>
      <w:outlineLvl w:val="9"/>
    </w:pPr>
    <w:rPr>
      <w:rFonts w:ascii="宋体"/>
      <w:kern w:val="0"/>
      <w:sz w:val="10"/>
    </w:rPr>
  </w:style>
  <w:style w:type="paragraph" w:customStyle="1" w:styleId="22">
    <w:name w:val="印数"/>
    <w:basedOn w:val="15"/>
    <w:qFormat/>
    <w:uiPriority w:val="0"/>
    <w:pPr>
      <w:spacing w:line="400" w:lineRule="atLeast"/>
      <w:jc w:val="right"/>
    </w:pPr>
  </w:style>
  <w:style w:type="paragraph" w:customStyle="1" w:styleId="23">
    <w:name w:val="标题3"/>
    <w:basedOn w:val="1"/>
    <w:next w:val="1"/>
    <w:qFormat/>
    <w:uiPriority w:val="0"/>
    <w:rPr>
      <w:rFonts w:eastAsia="方正黑体_GBK"/>
    </w:rPr>
  </w:style>
  <w:style w:type="paragraph" w:customStyle="1" w:styleId="24">
    <w:name w:val="标题1"/>
    <w:basedOn w:val="1"/>
    <w:next w:val="1"/>
    <w:qFormat/>
    <w:uiPriority w:val="0"/>
    <w:pPr>
      <w:tabs>
        <w:tab w:val="left" w:pos="9193"/>
        <w:tab w:val="left" w:pos="9827"/>
      </w:tabs>
      <w:spacing w:line="640" w:lineRule="atLeast"/>
      <w:jc w:val="center"/>
    </w:pPr>
    <w:rPr>
      <w:rFonts w:eastAsia="方正小标宋_GBK"/>
      <w:sz w:val="44"/>
    </w:rPr>
  </w:style>
  <w:style w:type="paragraph" w:customStyle="1" w:styleId="25">
    <w:name w:val="样式1"/>
    <w:basedOn w:val="1"/>
    <w:qFormat/>
    <w:uiPriority w:val="0"/>
  </w:style>
  <w:style w:type="paragraph" w:customStyle="1" w:styleId="26">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7">
    <w:name w:val="线型"/>
    <w:basedOn w:val="14"/>
    <w:qFormat/>
    <w:uiPriority w:val="0"/>
    <w:pPr>
      <w:spacing w:line="240" w:lineRule="auto"/>
      <w:ind w:left="0" w:firstLine="0"/>
      <w:jc w:val="center"/>
    </w:pPr>
  </w:style>
  <w:style w:type="character" w:customStyle="1" w:styleId="28">
    <w:name w:val="批注框文本 Char"/>
    <w:link w:val="4"/>
    <w:semiHidden/>
    <w:qFormat/>
    <w:uiPriority w:val="99"/>
    <w:rPr>
      <w:rFonts w:ascii="Calibri" w:hAnsi="Calibri"/>
      <w:sz w:val="18"/>
      <w:szCs w:val="18"/>
    </w:rPr>
  </w:style>
  <w:style w:type="character" w:customStyle="1" w:styleId="29">
    <w:name w:val="批注框文本 Char1"/>
    <w:basedOn w:val="10"/>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6167</Words>
  <Characters>6283</Characters>
  <Lines>56</Lines>
  <Paragraphs>15</Paragraphs>
  <TotalTime>44</TotalTime>
  <ScaleCrop>false</ScaleCrop>
  <LinksUpToDate>false</LinksUpToDate>
  <CharactersWithSpaces>6544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2017-01-09T08:47:00Z</dcterms:created>
  <dc:creator>lenovo</dc:creator>
  <cp:lastModifiedBy>婳珩</cp:lastModifiedBy>
  <cp:lastPrinted>2019-11-13T03:10:00Z</cp:lastPrinted>
  <dcterms:modified xsi:type="dcterms:W3CDTF">2023-02-28T02:21:11Z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CED472E135614F5ABDED1544423EC871</vt:lpwstr>
  </property>
</Properties>
</file>