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Calibri"/>
          <w:b/>
          <w:sz w:val="32"/>
          <w:szCs w:val="32"/>
        </w:rPr>
      </w:pPr>
    </w:p>
    <w:p>
      <w:pPr>
        <w:ind w:firstLine="465" w:firstLineChars="147"/>
        <w:rPr>
          <w:rFonts w:ascii="宋体"/>
          <w:b/>
          <w:sz w:val="32"/>
          <w:szCs w:val="32"/>
        </w:rPr>
      </w:pPr>
    </w:p>
    <w:p>
      <w:pPr>
        <w:jc w:val="center"/>
        <w:rPr>
          <w:rFonts w:ascii="仿宋_GB2312" w:hAnsi="宋体" w:eastAsia="仿宋_GB2312" w:cs="宋体"/>
          <w:b/>
          <w:color w:val="000000"/>
          <w:sz w:val="44"/>
          <w:szCs w:val="44"/>
        </w:rPr>
      </w:pPr>
      <w:r>
        <w:rPr>
          <w:rFonts w:hint="eastAsia" w:ascii="仿宋_GB2312" w:hAnsi="宋体" w:eastAsia="仿宋_GB2312" w:cs="宋体"/>
          <w:b/>
          <w:sz w:val="44"/>
          <w:szCs w:val="44"/>
        </w:rPr>
        <w:t>常州市市级优秀</w:t>
      </w:r>
      <w:r>
        <w:rPr>
          <w:rFonts w:hint="eastAsia" w:ascii="仿宋_GB2312" w:hAnsi="宋体" w:eastAsia="仿宋_GB2312" w:cs="宋体"/>
          <w:b/>
          <w:color w:val="000000"/>
          <w:sz w:val="44"/>
          <w:szCs w:val="44"/>
        </w:rPr>
        <w:t>物业管理项目</w:t>
      </w:r>
    </w:p>
    <w:p>
      <w:pPr>
        <w:jc w:val="center"/>
        <w:rPr>
          <w:rFonts w:ascii="仿宋_GB2312" w:hAnsi="Calibri" w:eastAsia="仿宋_GB2312" w:cs="宋体"/>
          <w:b/>
          <w:sz w:val="44"/>
          <w:szCs w:val="44"/>
        </w:rPr>
      </w:pPr>
      <w:r>
        <w:rPr>
          <w:rFonts w:hint="eastAsia" w:ascii="仿宋_GB2312" w:hAnsi="宋体" w:eastAsia="仿宋_GB2312" w:cs="宋体"/>
          <w:b/>
          <w:sz w:val="44"/>
          <w:szCs w:val="44"/>
        </w:rPr>
        <w:t>申报表</w:t>
      </w:r>
    </w:p>
    <w:p>
      <w:pPr>
        <w:jc w:val="center"/>
        <w:rPr>
          <w:rFonts w:ascii="仿宋_GB2312" w:eastAsia="仿宋_GB2312" w:cs="宋体"/>
          <w:b/>
          <w:sz w:val="44"/>
          <w:szCs w:val="44"/>
        </w:rPr>
      </w:pPr>
      <w:r>
        <w:rPr>
          <w:rFonts w:hint="eastAsia" w:ascii="仿宋_GB2312" w:hAnsi="宋体" w:eastAsia="仿宋_GB2312" w:cs="宋体"/>
          <w:b/>
          <w:sz w:val="44"/>
          <w:szCs w:val="44"/>
        </w:rPr>
        <w:t>（居住物业-老旧小区）</w:t>
      </w: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ind w:firstLine="1264" w:firstLineChars="400"/>
        <w:rPr>
          <w:rFonts w:ascii="仿宋_GB2312" w:eastAsia="仿宋_GB2312"/>
          <w:bCs/>
          <w:sz w:val="32"/>
          <w:szCs w:val="32"/>
          <w:u w:val="single"/>
        </w:rPr>
      </w:pPr>
      <w:r>
        <w:rPr>
          <w:rFonts w:hint="eastAsia" w:ascii="仿宋_GB2312" w:hAnsi="宋体" w:eastAsia="仿宋_GB2312"/>
          <w:bCs/>
          <w:sz w:val="32"/>
          <w:szCs w:val="32"/>
        </w:rPr>
        <w:t>项目名称：</w:t>
      </w:r>
    </w:p>
    <w:p>
      <w:pPr>
        <w:ind w:firstLine="1264" w:firstLineChars="400"/>
        <w:rPr>
          <w:rFonts w:ascii="仿宋_GB2312" w:eastAsia="仿宋_GB2312"/>
          <w:bCs/>
          <w:sz w:val="32"/>
          <w:szCs w:val="32"/>
          <w:u w:val="single"/>
        </w:rPr>
      </w:pPr>
      <w:r>
        <w:rPr>
          <w:rFonts w:hint="eastAsia" w:ascii="仿宋_GB2312" w:hAnsi="宋体" w:eastAsia="仿宋_GB2312"/>
          <w:bCs/>
          <w:sz w:val="32"/>
          <w:szCs w:val="32"/>
        </w:rPr>
        <w:t>申报日期：</w:t>
      </w:r>
    </w:p>
    <w:p>
      <w:pPr>
        <w:ind w:firstLine="1264" w:firstLineChars="400"/>
        <w:rPr>
          <w:rFonts w:ascii="仿宋_GB2312" w:eastAsia="仿宋_GB2312"/>
          <w:bCs/>
          <w:sz w:val="32"/>
          <w:szCs w:val="32"/>
          <w:u w:val="single"/>
        </w:rPr>
      </w:pPr>
      <w:r>
        <w:rPr>
          <w:rFonts w:hint="eastAsia" w:ascii="仿宋_GB2312" w:hAnsi="宋体" w:eastAsia="仿宋_GB2312"/>
          <w:bCs/>
          <w:sz w:val="32"/>
          <w:szCs w:val="32"/>
        </w:rPr>
        <w:t>服务企业名称：（章）</w:t>
      </w:r>
    </w:p>
    <w:p>
      <w:pPr>
        <w:ind w:firstLine="2054" w:firstLineChars="650"/>
        <w:rPr>
          <w:rFonts w:ascii="仿宋_GB2312" w:eastAsia="仿宋_GB2312"/>
          <w:bCs/>
          <w:sz w:val="32"/>
          <w:szCs w:val="32"/>
        </w:rPr>
      </w:pPr>
    </w:p>
    <w:p>
      <w:pPr>
        <w:ind w:firstLine="2054" w:firstLineChars="650"/>
        <w:rPr>
          <w:rFonts w:ascii="仿宋_GB2312" w:eastAsia="仿宋_GB2312"/>
          <w:bCs/>
          <w:sz w:val="32"/>
          <w:szCs w:val="32"/>
        </w:rPr>
      </w:pPr>
    </w:p>
    <w:p>
      <w:pPr>
        <w:ind w:firstLine="2054" w:firstLineChars="650"/>
        <w:rPr>
          <w:rFonts w:ascii="宋体"/>
          <w:b/>
          <w:sz w:val="32"/>
          <w:szCs w:val="32"/>
        </w:rPr>
      </w:pPr>
    </w:p>
    <w:p>
      <w:pPr>
        <w:rPr>
          <w:rFonts w:ascii="宋体"/>
          <w:b/>
          <w:sz w:val="36"/>
          <w:szCs w:val="36"/>
        </w:rPr>
      </w:pPr>
    </w:p>
    <w:p>
      <w:pPr>
        <w:jc w:val="center"/>
        <w:rPr>
          <w:rFonts w:ascii="仿宋_GB2312" w:eastAsia="仿宋_GB2312"/>
          <w:b/>
          <w:sz w:val="36"/>
          <w:szCs w:val="36"/>
        </w:rPr>
      </w:pPr>
      <w:r>
        <w:rPr>
          <w:rFonts w:hint="eastAsia" w:ascii="仿宋_GB2312" w:hAnsi="宋体" w:eastAsia="仿宋_GB2312"/>
          <w:b/>
          <w:sz w:val="44"/>
          <w:szCs w:val="44"/>
        </w:rPr>
        <w:t>说   明</w:t>
      </w:r>
    </w:p>
    <w:p>
      <w:pPr>
        <w:rPr>
          <w:rFonts w:ascii="宋体"/>
          <w:bCs/>
          <w:sz w:val="32"/>
          <w:szCs w:val="32"/>
        </w:rPr>
      </w:pPr>
    </w:p>
    <w:p>
      <w:pPr>
        <w:rPr>
          <w:rFonts w:ascii="仿宋_GB2312" w:eastAsia="仿宋_GB2312"/>
          <w:bCs/>
          <w:sz w:val="32"/>
          <w:szCs w:val="32"/>
        </w:rPr>
      </w:pPr>
      <w:r>
        <w:rPr>
          <w:rFonts w:hint="eastAsia" w:ascii="仿宋_GB2312" w:hAnsi="宋体" w:eastAsia="仿宋_GB2312"/>
          <w:bCs/>
          <w:sz w:val="32"/>
          <w:szCs w:val="32"/>
        </w:rPr>
        <w:t>一、本表由申报</w:t>
      </w:r>
      <w:r>
        <w:rPr>
          <w:rFonts w:hint="eastAsia" w:ascii="仿宋_GB2312" w:hAnsi="宋体" w:eastAsia="仿宋_GB2312" w:cs="宋体"/>
          <w:bCs/>
          <w:sz w:val="32"/>
          <w:szCs w:val="32"/>
        </w:rPr>
        <w:t>常州市优秀</w:t>
      </w:r>
      <w:r>
        <w:rPr>
          <w:rFonts w:hint="eastAsia" w:ascii="仿宋_GB2312" w:hAnsi="宋体" w:eastAsia="仿宋_GB2312" w:cs="宋体"/>
          <w:bCs/>
          <w:color w:val="000000"/>
          <w:sz w:val="32"/>
          <w:szCs w:val="32"/>
        </w:rPr>
        <w:t>物业管理项目</w:t>
      </w:r>
      <w:r>
        <w:rPr>
          <w:rFonts w:hint="eastAsia" w:ascii="仿宋_GB2312" w:hAnsi="宋体" w:eastAsia="仿宋_GB2312"/>
          <w:bCs/>
          <w:sz w:val="32"/>
          <w:szCs w:val="32"/>
        </w:rPr>
        <w:t>的服务企业及行政主管部门填写。</w:t>
      </w:r>
    </w:p>
    <w:p>
      <w:pPr>
        <w:ind w:firstLine="632" w:firstLineChars="200"/>
        <w:rPr>
          <w:rFonts w:ascii="仿宋_GB2312" w:eastAsia="仿宋_GB2312"/>
          <w:bCs/>
          <w:sz w:val="32"/>
          <w:szCs w:val="32"/>
        </w:rPr>
      </w:pPr>
      <w:r>
        <w:rPr>
          <w:rFonts w:hint="eastAsia" w:ascii="仿宋_GB2312" w:hAnsi="宋体" w:eastAsia="仿宋_GB2312"/>
          <w:bCs/>
          <w:sz w:val="32"/>
          <w:szCs w:val="32"/>
        </w:rPr>
        <w:t>二、表格内不敷填写，可另加附页。</w:t>
      </w:r>
    </w:p>
    <w:p>
      <w:pPr>
        <w:ind w:firstLine="632" w:firstLineChars="200"/>
        <w:rPr>
          <w:rFonts w:ascii="仿宋_GB2312" w:eastAsia="仿宋_GB2312"/>
          <w:bCs/>
          <w:sz w:val="32"/>
          <w:szCs w:val="32"/>
        </w:rPr>
      </w:pPr>
      <w:r>
        <w:rPr>
          <w:rFonts w:hint="eastAsia" w:ascii="仿宋_GB2312" w:hAnsi="宋体" w:eastAsia="仿宋_GB2312"/>
          <w:bCs/>
          <w:sz w:val="32"/>
          <w:szCs w:val="32"/>
        </w:rPr>
        <w:t>三、如实填写，切勿作假。</w:t>
      </w:r>
    </w:p>
    <w:p>
      <w:pPr>
        <w:ind w:firstLine="632" w:firstLineChars="200"/>
        <w:rPr>
          <w:rFonts w:ascii="仿宋_GB2312" w:eastAsia="仿宋_GB2312"/>
          <w:bCs/>
          <w:sz w:val="32"/>
          <w:szCs w:val="32"/>
        </w:rPr>
      </w:pPr>
      <w:r>
        <w:rPr>
          <w:rFonts w:hint="eastAsia" w:ascii="仿宋_GB2312" w:hAnsi="宋体" w:eastAsia="仿宋_GB2312"/>
          <w:bCs/>
          <w:sz w:val="32"/>
          <w:szCs w:val="32"/>
        </w:rPr>
        <w:t>四、字迹清楚、端正。</w:t>
      </w: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tbl>
      <w:tblPr>
        <w:tblStyle w:val="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65"/>
        <w:gridCol w:w="1741"/>
        <w:gridCol w:w="1374"/>
        <w:gridCol w:w="126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物业项目</w:t>
            </w:r>
          </w:p>
          <w:p>
            <w:pPr>
              <w:jc w:val="center"/>
              <w:rPr>
                <w:rFonts w:ascii="宋体" w:cs="宋体"/>
                <w:sz w:val="24"/>
                <w:szCs w:val="22"/>
              </w:rPr>
            </w:pPr>
            <w:r>
              <w:rPr>
                <w:rFonts w:hint="eastAsia" w:ascii="宋体" w:hAnsi="宋体" w:cs="宋体"/>
                <w:sz w:val="24"/>
              </w:rPr>
              <w:t>名称</w:t>
            </w:r>
          </w:p>
        </w:tc>
        <w:tc>
          <w:tcPr>
            <w:tcW w:w="24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竣工交付</w:t>
            </w:r>
          </w:p>
          <w:p>
            <w:pPr>
              <w:jc w:val="center"/>
              <w:rPr>
                <w:rFonts w:ascii="宋体" w:cs="宋体"/>
                <w:sz w:val="24"/>
                <w:szCs w:val="22"/>
              </w:rPr>
            </w:pPr>
            <w:r>
              <w:rPr>
                <w:rFonts w:hint="eastAsia" w:ascii="宋体" w:hAnsi="宋体" w:cs="宋体"/>
                <w:sz w:val="24"/>
              </w:rPr>
              <w:t>时间</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ind w:firstLine="118" w:firstLineChars="50"/>
              <w:jc w:val="center"/>
              <w:rPr>
                <w:rFonts w:ascii="宋体" w:cs="宋体"/>
                <w:sz w:val="24"/>
                <w:szCs w:val="22"/>
              </w:rPr>
            </w:pPr>
            <w:r>
              <w:rPr>
                <w:rFonts w:hint="eastAsia" w:ascii="宋体" w:hAnsi="宋体" w:cs="宋体"/>
                <w:sz w:val="24"/>
              </w:rPr>
              <w:t>物业类型</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物业项目</w:t>
            </w:r>
          </w:p>
          <w:p>
            <w:pPr>
              <w:jc w:val="center"/>
              <w:rPr>
                <w:rFonts w:ascii="宋体" w:cs="宋体"/>
                <w:sz w:val="24"/>
                <w:szCs w:val="22"/>
              </w:rPr>
            </w:pPr>
            <w:r>
              <w:rPr>
                <w:rFonts w:hint="eastAsia" w:ascii="宋体" w:hAnsi="宋体" w:cs="宋体"/>
                <w:sz w:val="24"/>
              </w:rPr>
              <w:t>地址</w:t>
            </w:r>
          </w:p>
        </w:tc>
        <w:tc>
          <w:tcPr>
            <w:tcW w:w="24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建筑面积</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业主（或管理）委员会</w:t>
            </w:r>
          </w:p>
          <w:p>
            <w:pPr>
              <w:jc w:val="center"/>
              <w:rPr>
                <w:rFonts w:ascii="宋体" w:cs="宋体"/>
                <w:sz w:val="24"/>
                <w:szCs w:val="22"/>
              </w:rPr>
            </w:pPr>
            <w:r>
              <w:rPr>
                <w:rFonts w:hint="eastAsia" w:ascii="宋体" w:hAnsi="宋体" w:cs="宋体"/>
                <w:sz w:val="24"/>
              </w:rPr>
              <w:t>产生时间</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物业服务企业名称</w:t>
            </w:r>
          </w:p>
        </w:tc>
        <w:tc>
          <w:tcPr>
            <w:tcW w:w="24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法定代表人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ind w:firstLine="118" w:firstLineChars="50"/>
              <w:jc w:val="center"/>
              <w:rPr>
                <w:rFonts w:ascii="宋体" w:cs="宋体"/>
                <w:sz w:val="24"/>
                <w:szCs w:val="22"/>
              </w:rPr>
            </w:pPr>
            <w:r>
              <w:rPr>
                <w:rFonts w:hint="eastAsia" w:ascii="宋体" w:hAnsi="宋体" w:cs="宋体"/>
                <w:sz w:val="24"/>
              </w:rPr>
              <w:t>联系电话</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项目经理</w:t>
            </w:r>
          </w:p>
          <w:p>
            <w:pPr>
              <w:jc w:val="center"/>
              <w:rPr>
                <w:rFonts w:ascii="宋体" w:cs="宋体"/>
                <w:sz w:val="24"/>
                <w:szCs w:val="22"/>
              </w:rPr>
            </w:pPr>
            <w:r>
              <w:rPr>
                <w:rFonts w:hint="eastAsia" w:ascii="宋体" w:hAnsi="宋体" w:cs="宋体"/>
                <w:sz w:val="24"/>
              </w:rPr>
              <w:t>姓名</w:t>
            </w:r>
          </w:p>
        </w:tc>
        <w:tc>
          <w:tcPr>
            <w:tcW w:w="24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物业专业</w:t>
            </w:r>
          </w:p>
          <w:p>
            <w:pPr>
              <w:jc w:val="center"/>
              <w:rPr>
                <w:rFonts w:ascii="宋体" w:cs="宋体"/>
                <w:sz w:val="24"/>
                <w:szCs w:val="22"/>
              </w:rPr>
            </w:pPr>
            <w:r>
              <w:rPr>
                <w:rFonts w:hint="eastAsia" w:ascii="宋体" w:hAnsi="宋体" w:cs="宋体"/>
                <w:sz w:val="24"/>
              </w:rPr>
              <w:t>证书编号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ind w:firstLine="118" w:firstLineChars="50"/>
              <w:jc w:val="center"/>
              <w:rPr>
                <w:rFonts w:ascii="宋体" w:cs="宋体"/>
                <w:sz w:val="24"/>
                <w:szCs w:val="22"/>
              </w:rPr>
            </w:pPr>
            <w:r>
              <w:rPr>
                <w:rFonts w:hint="eastAsia" w:ascii="宋体" w:hAnsi="宋体" w:cs="宋体"/>
                <w:sz w:val="24"/>
              </w:rPr>
              <w:t>联系电话</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color w:val="000000"/>
                <w:kern w:val="0"/>
                <w:sz w:val="24"/>
              </w:rPr>
              <w:t>获辖市（区）</w:t>
            </w:r>
            <w:r>
              <w:rPr>
                <w:rFonts w:hint="eastAsia" w:ascii="宋体" w:hAnsi="宋体" w:cs="宋体"/>
                <w:color w:val="000000"/>
                <w:sz w:val="24"/>
              </w:rPr>
              <w:t>荣誉</w:t>
            </w:r>
            <w:r>
              <w:rPr>
                <w:rFonts w:hint="eastAsia" w:ascii="宋体" w:hAnsi="宋体" w:cs="宋体"/>
                <w:color w:val="000000"/>
                <w:kern w:val="0"/>
                <w:sz w:val="24"/>
              </w:rPr>
              <w:t>称号名称与时间</w:t>
            </w:r>
          </w:p>
        </w:tc>
        <w:tc>
          <w:tcPr>
            <w:tcW w:w="5154" w:type="dxa"/>
            <w:gridSpan w:val="4"/>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820" w:type="dxa"/>
            <w:gridSpan w:val="7"/>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4"/>
                <w:szCs w:val="22"/>
              </w:rPr>
            </w:pPr>
            <w:r>
              <w:rPr>
                <w:rFonts w:hint="eastAsia" w:ascii="宋体" w:hAnsi="宋体" w:cs="宋体"/>
                <w:color w:val="000000"/>
                <w:sz w:val="24"/>
              </w:rPr>
              <w:t>物业服务单位自检概述：</w:t>
            </w: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ind w:firstLine="118" w:firstLineChars="50"/>
              <w:jc w:val="center"/>
              <w:rPr>
                <w:rFonts w:ascii="宋体" w:cs="宋体"/>
                <w:color w:val="000000"/>
                <w:sz w:val="24"/>
                <w:szCs w:val="22"/>
              </w:rPr>
            </w:pPr>
            <w:r>
              <w:rPr>
                <w:rFonts w:hint="eastAsia" w:ascii="宋体" w:hAnsi="宋体" w:cs="宋体"/>
                <w:color w:val="000000"/>
                <w:sz w:val="24"/>
              </w:rPr>
              <w:t>预评总分</w:t>
            </w:r>
          </w:p>
        </w:tc>
        <w:tc>
          <w:tcPr>
            <w:tcW w:w="689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szCs w:val="22"/>
              </w:rPr>
            </w:pPr>
          </w:p>
          <w:p>
            <w:pPr>
              <w:jc w:val="cente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3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szCs w:val="22"/>
              </w:rPr>
            </w:pPr>
            <w:r>
              <w:rPr>
                <w:rFonts w:hint="eastAsia" w:ascii="宋体" w:hAnsi="宋体" w:cs="宋体"/>
                <w:color w:val="000000"/>
                <w:sz w:val="24"/>
              </w:rPr>
              <w:t>辖市、区行政主管部门推荐意见</w:t>
            </w:r>
          </w:p>
        </w:tc>
        <w:tc>
          <w:tcPr>
            <w:tcW w:w="5154" w:type="dxa"/>
            <w:gridSpan w:val="4"/>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4"/>
              </w:rPr>
            </w:pPr>
          </w:p>
          <w:p>
            <w:pPr>
              <w:rPr>
                <w:rFonts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hAnsi="宋体" w:cs="宋体"/>
                <w:color w:val="000000"/>
                <w:sz w:val="24"/>
              </w:rPr>
            </w:pPr>
            <w:r>
              <w:rPr>
                <w:rFonts w:hint="eastAsia" w:ascii="宋体" w:hAnsi="宋体" w:cs="宋体"/>
                <w:color w:val="000000"/>
                <w:sz w:val="24"/>
              </w:rPr>
              <w:t xml:space="preserve">                      年     月   日(签章）</w:t>
            </w:r>
          </w:p>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szCs w:val="22"/>
              </w:rPr>
            </w:pPr>
            <w:r>
              <w:rPr>
                <w:rFonts w:hint="eastAsia" w:ascii="宋体" w:hAnsi="宋体" w:cs="宋体"/>
                <w:color w:val="000000"/>
                <w:sz w:val="24"/>
              </w:rPr>
              <w:t>市</w:t>
            </w:r>
            <w:r>
              <w:rPr>
                <w:rFonts w:hint="eastAsia" w:ascii="宋体" w:hAnsi="宋体" w:cs="宋体"/>
                <w:color w:val="000000"/>
                <w:sz w:val="24"/>
                <w:lang w:eastAsia="zh-CN"/>
              </w:rPr>
              <w:t>考评</w:t>
            </w:r>
            <w:r>
              <w:rPr>
                <w:rFonts w:hint="eastAsia" w:ascii="宋体" w:hAnsi="宋体" w:cs="宋体"/>
                <w:color w:val="000000"/>
                <w:sz w:val="24"/>
              </w:rPr>
              <w:t>总分</w:t>
            </w:r>
          </w:p>
        </w:tc>
        <w:tc>
          <w:tcPr>
            <w:tcW w:w="5154" w:type="dxa"/>
            <w:gridSpan w:val="4"/>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1" w:hRule="atLeast"/>
        </w:trPr>
        <w:tc>
          <w:tcPr>
            <w:tcW w:w="3666" w:type="dxa"/>
            <w:gridSpan w:val="3"/>
            <w:tcBorders>
              <w:top w:val="single" w:color="auto" w:sz="4" w:space="0"/>
              <w:left w:val="single" w:color="auto" w:sz="4" w:space="0"/>
              <w:bottom w:val="single" w:color="auto" w:sz="4" w:space="0"/>
              <w:right w:val="single" w:color="auto" w:sz="4" w:space="0"/>
            </w:tcBorders>
            <w:vAlign w:val="center"/>
          </w:tcPr>
          <w:p>
            <w:pPr>
              <w:ind w:firstLine="118" w:firstLineChars="50"/>
              <w:jc w:val="center"/>
              <w:rPr>
                <w:rFonts w:ascii="宋体" w:cs="宋体"/>
                <w:color w:val="000000"/>
                <w:sz w:val="24"/>
                <w:szCs w:val="22"/>
              </w:rPr>
            </w:pPr>
            <w:r>
              <w:rPr>
                <w:rFonts w:hint="eastAsia" w:ascii="宋体" w:hAnsi="宋体" w:cs="宋体"/>
                <w:color w:val="000000"/>
                <w:sz w:val="24"/>
              </w:rPr>
              <w:t>市</w:t>
            </w:r>
            <w:r>
              <w:rPr>
                <w:rFonts w:hint="eastAsia" w:ascii="宋体" w:hAnsi="宋体" w:cs="宋体"/>
                <w:color w:val="000000"/>
                <w:sz w:val="24"/>
                <w:lang w:eastAsia="zh-CN"/>
              </w:rPr>
              <w:t>考评</w:t>
            </w:r>
            <w:r>
              <w:rPr>
                <w:rFonts w:hint="eastAsia" w:ascii="宋体" w:hAnsi="宋体" w:cs="宋体"/>
                <w:color w:val="000000"/>
                <w:sz w:val="24"/>
              </w:rPr>
              <w:t>意见</w:t>
            </w:r>
          </w:p>
        </w:tc>
        <w:tc>
          <w:tcPr>
            <w:tcW w:w="5154" w:type="dxa"/>
            <w:gridSpan w:val="4"/>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asci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ascii="宋体" w:hAnsi="宋体" w:cs="宋体"/>
                <w:color w:val="000000"/>
                <w:sz w:val="24"/>
              </w:rPr>
            </w:pPr>
            <w:r>
              <w:rPr>
                <w:rFonts w:hint="eastAsia" w:ascii="宋体" w:hAnsi="宋体" w:cs="宋体"/>
                <w:color w:val="000000"/>
                <w:sz w:val="24"/>
                <w:lang w:eastAsia="zh-CN"/>
              </w:rPr>
              <w:t>考评</w:t>
            </w:r>
            <w:r>
              <w:rPr>
                <w:rFonts w:hint="eastAsia" w:ascii="宋体" w:hAnsi="宋体" w:cs="宋体"/>
                <w:color w:val="000000"/>
                <w:sz w:val="24"/>
              </w:rPr>
              <w:t>专家（签名）：</w:t>
            </w:r>
          </w:p>
          <w:p>
            <w:pPr>
              <w:ind w:firstLine="3776" w:firstLineChars="1600"/>
              <w:rPr>
                <w:rFonts w:ascii="宋体" w:hAnsi="宋体" w:cs="宋体"/>
                <w:color w:val="000000"/>
                <w:sz w:val="24"/>
              </w:rPr>
            </w:pPr>
          </w:p>
          <w:p>
            <w:pPr>
              <w:rPr>
                <w:rFonts w:hint="eastAsia" w:ascii="宋体" w:hAnsi="宋体" w:cs="宋体"/>
                <w:color w:val="000000"/>
                <w:sz w:val="24"/>
              </w:rPr>
            </w:pPr>
            <w:r>
              <w:rPr>
                <w:rFonts w:hint="eastAsia" w:ascii="宋体" w:hAnsi="宋体" w:cs="宋体"/>
                <w:color w:val="000000"/>
                <w:sz w:val="24"/>
              </w:rPr>
              <w:t xml:space="preserve">           </w:t>
            </w:r>
          </w:p>
          <w:p>
            <w:pPr>
              <w:ind w:firstLine="4279" w:firstLineChars="1813"/>
              <w:rPr>
                <w:rFonts w:hint="eastAsia" w:ascii="宋体" w:hAnsi="宋体" w:cs="宋体"/>
                <w:color w:val="000000"/>
                <w:sz w:val="24"/>
              </w:rPr>
            </w:pPr>
          </w:p>
          <w:p>
            <w:pPr>
              <w:ind w:firstLine="4279" w:firstLineChars="1813"/>
              <w:rPr>
                <w:rFonts w:hint="eastAsia" w:ascii="宋体" w:hAnsi="宋体" w:cs="宋体"/>
                <w:color w:val="000000"/>
                <w:sz w:val="24"/>
              </w:rPr>
            </w:pPr>
          </w:p>
          <w:p>
            <w:pPr>
              <w:ind w:firstLine="2596" w:firstLineChars="1100"/>
              <w:rPr>
                <w:rFonts w:ascii="宋体" w:cs="宋体"/>
                <w:color w:val="000000"/>
                <w:sz w:val="24"/>
              </w:rPr>
            </w:pPr>
            <w:r>
              <w:rPr>
                <w:rFonts w:hint="eastAsia" w:ascii="宋体" w:hAnsi="宋体" w:cs="宋体"/>
                <w:color w:val="000000"/>
                <w:sz w:val="24"/>
              </w:rPr>
              <w:t>年     月   日(签章）</w:t>
            </w:r>
          </w:p>
          <w:p>
            <w:pPr>
              <w:rPr>
                <w:rFonts w:ascii="宋体" w:cs="宋体"/>
                <w:color w:val="000000"/>
                <w:sz w:val="24"/>
                <w:szCs w:val="22"/>
              </w:rPr>
            </w:pPr>
          </w:p>
        </w:tc>
      </w:tr>
    </w:tbl>
    <w:p>
      <w:pPr>
        <w:pStyle w:val="7"/>
        <w:widowControl/>
        <w:shd w:val="clear" w:color="auto" w:fill="FFFFFF"/>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《常州市优秀物业管理项目服务</w:t>
      </w:r>
      <w:r>
        <w:rPr>
          <w:rFonts w:hint="eastAsia" w:ascii="仿宋_GB2312" w:hAnsi="宋体" w:eastAsia="仿宋_GB2312" w:cs="宋体"/>
          <w:b/>
          <w:bCs/>
          <w:color w:val="000000"/>
          <w:sz w:val="32"/>
          <w:szCs w:val="32"/>
          <w:lang w:eastAsia="zh-CN"/>
        </w:rPr>
        <w:t>考评</w:t>
      </w:r>
      <w:r>
        <w:rPr>
          <w:rFonts w:hint="eastAsia" w:ascii="仿宋_GB2312" w:hAnsi="宋体" w:eastAsia="仿宋_GB2312" w:cs="宋体"/>
          <w:b/>
          <w:bCs/>
          <w:color w:val="000000"/>
          <w:sz w:val="32"/>
          <w:szCs w:val="32"/>
        </w:rPr>
        <w:t>标准》</w:t>
      </w:r>
    </w:p>
    <w:p>
      <w:pPr>
        <w:pStyle w:val="7"/>
        <w:widowControl/>
        <w:shd w:val="clear" w:color="auto" w:fill="FFFFFF"/>
        <w:jc w:val="center"/>
        <w:rPr>
          <w:rFonts w:ascii="仿宋_GB2312" w:eastAsia="仿宋_GB2312" w:cs="宋体"/>
          <w:b/>
          <w:bCs/>
          <w:color w:val="000000"/>
          <w:sz w:val="32"/>
          <w:szCs w:val="32"/>
        </w:rPr>
      </w:pPr>
      <w:r>
        <w:rPr>
          <w:rFonts w:hint="eastAsia" w:ascii="仿宋_GB2312" w:hAnsi="宋体" w:eastAsia="仿宋_GB2312" w:cs="宋体"/>
          <w:b/>
          <w:bCs/>
          <w:color w:val="000000"/>
          <w:sz w:val="32"/>
          <w:szCs w:val="32"/>
        </w:rPr>
        <w:t>（居住物业—老旧小区）</w:t>
      </w:r>
    </w:p>
    <w:tbl>
      <w:tblPr>
        <w:tblStyle w:val="8"/>
        <w:tblW w:w="856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65"/>
        <w:gridCol w:w="3288"/>
        <w:gridCol w:w="709"/>
        <w:gridCol w:w="1134"/>
        <w:gridCol w:w="684"/>
        <w:gridCol w:w="6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0" w:hRule="atLeast"/>
        </w:trPr>
        <w:tc>
          <w:tcPr>
            <w:tcW w:w="206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项目</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标准内容</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规定</w:t>
            </w:r>
          </w:p>
          <w:p>
            <w:pPr>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评分</w:t>
            </w:r>
          </w:p>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细则</w:t>
            </w:r>
          </w:p>
        </w:tc>
        <w:tc>
          <w:tcPr>
            <w:tcW w:w="68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区评</w:t>
            </w:r>
          </w:p>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c>
          <w:tcPr>
            <w:tcW w:w="68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市评</w:t>
            </w:r>
          </w:p>
          <w:p>
            <w:pPr>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535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一、基础管理服务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26</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物业项目资料</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eastAsia="仿宋_GB2312"/>
                <w:color w:val="000000"/>
                <w:kern w:val="0"/>
                <w:szCs w:val="21"/>
              </w:rPr>
              <w:t>1 竣工总平面图、地下管网图等竣工验收资料；</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缺第1、2项扣</w:t>
            </w:r>
            <w:r>
              <w:rPr>
                <w:rFonts w:hint="eastAsia" w:ascii="宋体" w:hAnsi="宋体" w:eastAsia="仿宋_GB2312"/>
                <w:color w:val="000000"/>
                <w:kern w:val="0"/>
                <w:szCs w:val="21"/>
              </w:rPr>
              <w:t>0.3</w:t>
            </w:r>
            <w:r>
              <w:rPr>
                <w:rFonts w:hint="eastAsia" w:ascii="宋体" w:hAnsi="宋体" w:eastAsia="仿宋_GB2312" w:cs="宋体"/>
                <w:color w:val="000000"/>
                <w:kern w:val="0"/>
                <w:szCs w:val="21"/>
              </w:rPr>
              <w:t>分，缺第3项扣0.4分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eastAsia="仿宋_GB2312"/>
                <w:color w:val="000000"/>
                <w:kern w:val="0"/>
                <w:szCs w:val="21"/>
              </w:rPr>
              <w:t>2 共用设施设备清单使用和维护保养等技术资料；</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物业管理区域划分证明。</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承接查验手续</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共用部位、共用设施设备查验记录；</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eastAsia="仿宋_GB2312"/>
                <w:color w:val="000000"/>
                <w:kern w:val="0"/>
                <w:szCs w:val="21"/>
              </w:rPr>
              <w:t>更换过物业公司的小区要求满足第1、2、3、4项，</w:t>
            </w: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r>
              <w:rPr>
                <w:rFonts w:hint="eastAsia" w:eastAsia="仿宋_GB2312"/>
                <w:color w:val="000000"/>
                <w:kern w:val="0"/>
                <w:szCs w:val="21"/>
              </w:rPr>
              <w:t>未更换过物业公司的小区仅要求满足第2项，</w:t>
            </w: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分</w:t>
            </w:r>
            <w:r>
              <w:rPr>
                <w:rFonts w:hint="eastAsia" w:eastAsia="仿宋_GB2312"/>
                <w:color w:val="000000"/>
                <w:kern w:val="0"/>
                <w:szCs w:val="21"/>
              </w:rPr>
              <w:t>。</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2共用部位、共用设施设备交接记录；</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3物业承接查验协议；</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4物业承接查验备案证明。</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管理规约制度</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1 临时管理规约；</w:t>
            </w:r>
          </w:p>
        </w:tc>
        <w:tc>
          <w:tcPr>
            <w:tcW w:w="709" w:type="dxa"/>
            <w:vMerge w:val="restart"/>
            <w:tcBorders>
              <w:top w:val="single" w:color="auto" w:sz="8" w:space="0"/>
              <w:left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2 管理规约和业主大会议事规则；</w:t>
            </w:r>
          </w:p>
        </w:tc>
        <w:tc>
          <w:tcPr>
            <w:tcW w:w="709" w:type="dxa"/>
            <w:vMerge w:val="continue"/>
            <w:tcBorders>
              <w:left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3（临时）管理规约和业主大会议事规则的内容符合法律法规的规定；</w:t>
            </w:r>
          </w:p>
        </w:tc>
        <w:tc>
          <w:tcPr>
            <w:tcW w:w="709" w:type="dxa"/>
            <w:vMerge w:val="continue"/>
            <w:tcBorders>
              <w:left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4临时管理规约经业主书面承诺遵守，管理规约和业主大会议事规则经业主大会表决通过。</w:t>
            </w:r>
          </w:p>
        </w:tc>
        <w:tc>
          <w:tcPr>
            <w:tcW w:w="709" w:type="dxa"/>
            <w:vMerge w:val="continue"/>
            <w:tcBorders>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物业服务合同</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1 前期物业服务合同；</w:t>
            </w:r>
          </w:p>
        </w:tc>
        <w:tc>
          <w:tcPr>
            <w:tcW w:w="709" w:type="dxa"/>
            <w:vMerge w:val="restart"/>
            <w:tcBorders>
              <w:top w:val="single" w:color="auto" w:sz="8" w:space="0"/>
              <w:left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2 物业服务合同；</w:t>
            </w:r>
          </w:p>
        </w:tc>
        <w:tc>
          <w:tcPr>
            <w:tcW w:w="709" w:type="dxa"/>
            <w:vMerge w:val="continue"/>
            <w:tcBorders>
              <w:left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3 前期物业服务合同符合法律法规的规定，无侵害业主合法权益的内容；</w:t>
            </w:r>
          </w:p>
        </w:tc>
        <w:tc>
          <w:tcPr>
            <w:tcW w:w="709" w:type="dxa"/>
            <w:vMerge w:val="continue"/>
            <w:tcBorders>
              <w:left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4 物业服务合同符合法律法规的规定，选聘物业服务企业的事项经业主大会表决通过。</w:t>
            </w:r>
          </w:p>
        </w:tc>
        <w:tc>
          <w:tcPr>
            <w:tcW w:w="709" w:type="dxa"/>
            <w:vMerge w:val="continue"/>
            <w:tcBorders>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专项维修资金制度</w:t>
            </w:r>
          </w:p>
        </w:tc>
        <w:tc>
          <w:tcPr>
            <w:tcW w:w="3288" w:type="dxa"/>
            <w:tcBorders>
              <w:top w:val="single" w:color="auto" w:sz="8" w:space="0"/>
              <w:left w:val="single" w:color="auto" w:sz="8" w:space="0"/>
              <w:bottom w:val="single" w:color="auto" w:sz="8" w:space="0"/>
              <w:right w:val="single" w:color="auto" w:sz="8" w:space="0"/>
            </w:tcBorders>
            <w:vAlign w:val="center"/>
          </w:tcPr>
          <w:p>
            <w:pPr>
              <w:rPr>
                <w:rFonts w:ascii="宋体" w:eastAsia="仿宋_GB2312"/>
                <w:color w:val="000000"/>
                <w:kern w:val="0"/>
                <w:szCs w:val="21"/>
              </w:rPr>
            </w:pPr>
            <w:r>
              <w:rPr>
                <w:rFonts w:hint="eastAsia" w:ascii="宋体" w:hAnsi="宋体" w:eastAsia="仿宋_GB2312"/>
                <w:color w:val="000000"/>
                <w:kern w:val="0"/>
                <w:szCs w:val="21"/>
              </w:rPr>
              <w:t>1 物业服务企业协助并配合制定维修资金使用方案；</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rPr>
                <w:rFonts w:ascii="宋体" w:eastAsia="仿宋_GB2312" w:cs="宋体"/>
                <w:color w:val="000000"/>
                <w:kern w:val="0"/>
                <w:szCs w:val="21"/>
              </w:rPr>
            </w:pPr>
            <w:r>
              <w:rPr>
                <w:rFonts w:hint="eastAsia" w:ascii="宋体" w:hAnsi="宋体" w:eastAsia="仿宋_GB2312" w:cs="宋体"/>
                <w:color w:val="000000"/>
                <w:kern w:val="0"/>
                <w:szCs w:val="21"/>
              </w:rPr>
              <w:t>缺第</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项扣</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分，第</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3</w:t>
            </w:r>
            <w:r>
              <w:rPr>
                <w:rFonts w:hint="eastAsia" w:ascii="宋体" w:hAnsi="宋体" w:eastAsia="仿宋_GB2312" w:cs="宋体"/>
                <w:color w:val="000000"/>
                <w:kern w:val="0"/>
                <w:szCs w:val="21"/>
              </w:rPr>
              <w:t>项不符合各扣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rPr>
                <w:rFonts w:ascii="宋体" w:eastAsia="仿宋_GB2312"/>
                <w:color w:val="000000"/>
                <w:kern w:val="0"/>
                <w:szCs w:val="21"/>
              </w:rPr>
            </w:pPr>
            <w:r>
              <w:rPr>
                <w:rFonts w:hint="eastAsia" w:ascii="宋体" w:hAnsi="宋体" w:eastAsia="仿宋_GB2312" w:cs="宋体"/>
                <w:color w:val="000000"/>
                <w:kern w:val="0"/>
                <w:szCs w:val="21"/>
              </w:rPr>
              <w:t>2 物业服务企业协助并配合组织实施方案，预算、列支、备案、施工及竣工验收有书面记录；</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 xml:space="preserve">3 </w:t>
            </w:r>
            <w:r>
              <w:rPr>
                <w:rFonts w:hint="eastAsia" w:ascii="宋体" w:hAnsi="宋体" w:eastAsia="仿宋_GB2312" w:cs="宋体"/>
                <w:color w:val="000000"/>
                <w:kern w:val="0"/>
                <w:szCs w:val="21"/>
              </w:rPr>
              <w:t>物业服务企业</w:t>
            </w:r>
            <w:r>
              <w:rPr>
                <w:rFonts w:hint="eastAsia" w:ascii="宋体" w:hAnsi="宋体" w:eastAsia="仿宋_GB2312"/>
                <w:color w:val="000000"/>
                <w:kern w:val="0"/>
                <w:szCs w:val="21"/>
              </w:rPr>
              <w:t>无挪用维修资金、擅自扩大使用范围等违规行为。</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管理服务制度</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人力资源管理制度；</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财务管理制度；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合同管理制度；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房屋维修养护管理制度；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设施设备维修养护管理制度；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秩序维护管理制度；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环境清洁管理制度；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园林绿化管理制度；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9 收费管理制度；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10 客户关系管理制度。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ind w:firstLine="206"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档案管理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房屋设施设备日常维修养护档案实现动态监管；</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业主信息档案实现动态管理；</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档案分类规范，查阅方便；</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档案使用登记手续完备；</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档案存放环境符合规定条件。</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突发事件应急机制</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制定消防、电梯、给排水、供配电等共用设施设备事故应急预案；</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制定自然灾害、公共卫生、治安、交通等方面突发事件的配合性应急预案；</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应急预案定期演练，并有相应记录。</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员工培训和企业形象</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建立企业员工培训体系，根据不同岗位特点制订并落实员工分类培训计划；</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第</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分，第</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3</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4</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5</w:t>
            </w:r>
            <w:r>
              <w:rPr>
                <w:rFonts w:hint="eastAsia" w:ascii="宋体" w:hAnsi="宋体" w:eastAsia="仿宋_GB2312" w:cs="宋体"/>
                <w:color w:val="000000"/>
                <w:kern w:val="0"/>
                <w:szCs w:val="21"/>
              </w:rPr>
              <w:t>项不符合各扣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专业岗位操作人员按规定持有专业岗位证书（包括消防监控人员、电梯维修人员、高低压电工等）；</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不同岗位服务人员分类统一着装，佩戴工作标志；</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服务人员态度热情耐心，举止文明礼貌，解答问题及时准确；</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企业标识标牌体系完善，业主手册、服务指南等客户服务资料简明实用。</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客户服务管理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设立物业服务中心，公示物业服务企业营业执照、服务内容和标准、收费依据和标准、项目负责人照片及资格证书、服务电话；</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有专人负责接待客户来访，24小时受理客户信息；</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客服接待人员值班记录及时，客户信息处理记录完整，按月进行统计分析；</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有客户回访制度和记录，投诉处理及时率100%，并按月进行统计分析；</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物业服务收费明码标价，实行物业服务费酬金制的，每年不少于一次公布物业服务资金的收支情况；</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利用共用部位、共用设施设备经营的，应当征得业主的同意，并定期公布收益情况。</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社区文化建设</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社区文化建设有计划，有方案，有措施，有成效；</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采用书面资料、宣传栏、网络等方式培养住户的公共道德意识和良好生活习惯；</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每年开展二次以上的文体娱乐活动，营造和谐的社区氛围；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积极组织和参与社区志愿活动，开展社区精神文明建设。</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沟通报告机制</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对住户违反治安、消防、环保、房屋装饰装修和使用等方面法律、法规规定的行为，及时进行劝阻，并向有关行政部门报告；</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主动与物业所在地的房地产行政主管部门、街道办事处（乡镇人民政府）、公安派出所、居民委员会联络，共同协调解决物业管理中遇到的问题；</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2"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协助业主大会筹备工作，建立与业主委员会定期沟通报告的工作例会制度，积极听取业主和业主委员会对物业服务的意见和建议，主动接受业主和业主委员会的监督。</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535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二、房屋共用部位管理</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13</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标识系统和维保资料</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主出入口设有小区平面示意图；</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管理区域内交通标志引导指示牌规范清晰；</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小区组团、栋、单元（门）、户门以及配套公建标识规范清晰；</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建立房屋产权清册；</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房屋维修、保养记录完整；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房屋使用功能完备，无安全隐患。</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共用部位使用管理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共用场地、部位符合规划要求，基本无违章搭建现象；</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房屋共用部位使用符合建筑设计要求，无擅自改变用途现象。</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房屋外观状况</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eastAsia="仿宋_GB2312"/>
                <w:color w:val="000000"/>
                <w:kern w:val="0"/>
                <w:szCs w:val="21"/>
              </w:rPr>
              <w:t>1 房屋外观完好、整洁，无污迹、乱贴、乱涂、乱画和乱挂现象，基本无破损、脱落、渗水；</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外墙清洗或粉刷按合同和计划组织实施、记录完整。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p>
          <w:p>
            <w:pPr>
              <w:widowControl/>
              <w:jc w:val="center"/>
              <w:rPr>
                <w:rFonts w:ascii="宋体" w:eastAsia="仿宋_GB2312" w:cs="宋体"/>
                <w:color w:val="000000"/>
                <w:kern w:val="0"/>
                <w:szCs w:val="21"/>
              </w:rPr>
            </w:pPr>
          </w:p>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室外附加设施管理</w:t>
            </w:r>
          </w:p>
          <w:p>
            <w:pPr>
              <w:jc w:val="cente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室外招牌、广告牌、夜景灯等设施按规定办理报批，手续齐全，色彩风格统一；</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eastAsia="仿宋_GB2312"/>
                <w:color w:val="000000"/>
                <w:kern w:val="0"/>
                <w:szCs w:val="21"/>
              </w:rPr>
              <w:t>2 封闭阳台、外廊及户外防盗网、晾晒架、遮阳蓬安装符合建筑设计要求和管理规约约定，样式、规格基本统一；</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空调、户外防盗网、晾晒架等安装牢固，管线整齐，美观大方，无安全隐患；</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rPr>
                <w:rFonts w:ascii="宋体" w:eastAsia="仿宋_GB2312"/>
                <w:color w:val="000000"/>
                <w:kern w:val="0"/>
                <w:szCs w:val="21"/>
              </w:rPr>
            </w:pPr>
            <w:r>
              <w:rPr>
                <w:rFonts w:hint="eastAsia" w:ascii="宋体" w:hAnsi="宋体" w:eastAsia="仿宋_GB2312"/>
                <w:color w:val="000000"/>
                <w:kern w:val="0"/>
                <w:szCs w:val="21"/>
              </w:rPr>
              <w:t>4 发现安全隐患，及时告知或劝阻业主及相关当事人，并采取相应防范措施。</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065" w:type="dxa"/>
            <w:vMerge w:val="restart"/>
            <w:tcBorders>
              <w:top w:val="single" w:color="auto" w:sz="8" w:space="0"/>
              <w:left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装饰装修管理</w:t>
            </w:r>
          </w:p>
        </w:tc>
        <w:tc>
          <w:tcPr>
            <w:tcW w:w="328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仿宋_GB2312"/>
                <w:color w:val="000000"/>
                <w:kern w:val="0"/>
                <w:szCs w:val="21"/>
              </w:rPr>
            </w:pPr>
            <w:r>
              <w:rPr>
                <w:rFonts w:hint="eastAsia" w:ascii="宋体" w:hAnsi="宋体" w:eastAsia="仿宋_GB2312"/>
                <w:color w:val="000000"/>
                <w:kern w:val="0"/>
                <w:szCs w:val="21"/>
              </w:rPr>
              <w:t>1 签订装饰装修管理服务协议；</w:t>
            </w:r>
          </w:p>
        </w:tc>
        <w:tc>
          <w:tcPr>
            <w:tcW w:w="709" w:type="dxa"/>
            <w:vMerge w:val="restart"/>
            <w:tcBorders>
              <w:top w:val="single" w:color="auto" w:sz="8" w:space="0"/>
              <w:left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left w:val="single" w:color="auto" w:sz="8" w:space="0"/>
              <w:right w:val="single" w:color="auto" w:sz="8" w:space="0"/>
            </w:tcBorders>
            <w:vAlign w:val="center"/>
          </w:tcPr>
          <w:p>
            <w:pPr>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0.6</w:t>
            </w:r>
          </w:p>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restart"/>
            <w:tcBorders>
              <w:top w:val="single" w:color="auto" w:sz="8" w:space="0"/>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2065"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2 书面告知业主及施工单位装饰装修的禁止行为和注意事项，并在装修现场公示，装修现场的消防及安全防范措施得当；</w:t>
            </w:r>
          </w:p>
        </w:tc>
        <w:tc>
          <w:tcPr>
            <w:tcW w:w="709" w:type="dxa"/>
            <w:vMerge w:val="continue"/>
            <w:tcBorders>
              <w:left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装修人员出入和装修施工时间有效控制，装修垃圾定点堆放，定时清运；</w:t>
            </w:r>
          </w:p>
        </w:tc>
        <w:tc>
          <w:tcPr>
            <w:tcW w:w="709" w:type="dxa"/>
            <w:vMerge w:val="continue"/>
            <w:tcBorders>
              <w:left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专人每日巡视检查装修现场，及时劝阻和制止装修违规行为，制止无效的，书面报告业主委员会及有关部门；</w:t>
            </w:r>
          </w:p>
        </w:tc>
        <w:tc>
          <w:tcPr>
            <w:tcW w:w="709" w:type="dxa"/>
            <w:vMerge w:val="continue"/>
            <w:tcBorders>
              <w:left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装修验收手续完备，装修档案保存完整。</w:t>
            </w:r>
          </w:p>
        </w:tc>
        <w:tc>
          <w:tcPr>
            <w:tcW w:w="709" w:type="dxa"/>
            <w:vMerge w:val="continue"/>
            <w:tcBorders>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日常巡视、检查与管理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1每日巡查屋面、单元门、楼梯、通道、窗户等共用部位，发现损坏，及时维修养护并做好记录；</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门窗无破损，楼梯、通道以及屋面无乱堆乱放现象，屋面防水性能良好，进出有监管措施。</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535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三、共用设施设备运行、维修和养护</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共用设施设备管理和运行状况</w:t>
            </w:r>
          </w:p>
          <w:p>
            <w:pPr>
              <w:widowControl/>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设施设备专业管理人员配置合理，岗位责任明确；</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建立设施设备总账、台账、设备卡，设施设备标志齐全、规范；</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设施设备运行、维护、保养和检查等管理制度健全；</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制定并实施年、季、月度设施设备维护、保养计划；</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制定并实施日常设施设备检修、巡视、保养、紧急情况处理等制度；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制定并实施维修工具、备品、备件和化学品等存放和管理制度；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制定并实施专业外包合同全程监管制度；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操作人员熟练掌握、严格执行设施设备操作规程及保养规范。</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室外共用管线、管道和道路管理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eastAsia="仿宋_GB2312"/>
                <w:color w:val="000000"/>
                <w:kern w:val="0"/>
                <w:szCs w:val="21"/>
              </w:rPr>
              <w:t>1 室外共用管线整齐有序；</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排水排污管道通畅；</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6"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雨水井、化粪池定期巡检、疏通与清掏，无堵塞、外溢现象；</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道路通畅，路面整洁平整，路面井盖无缺损、无丢失，井盖表面标志清晰。</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设备机房管理</w:t>
            </w:r>
          </w:p>
          <w:p>
            <w:pPr>
              <w:widowControl/>
              <w:rPr>
                <w:rFonts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设备系统图、操作规程、岗位责任制度、应急预案流程图、特种作业人员资格证书等齐全，张贴于机房明显位置；</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设备管线标志清晰，仪器仪表运行正常、数据准确；</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机房整洁、无渗漏、无积水、无杂物堆放，设备表面无积尘、无锈蚀，防鼠板、防鼠网材质、规格，防鼠药物投放等符合规范要求；</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设备噪声符合规范要求，有环境要求的设备机房，温、湿度在规定范围内。</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供电系统管理</w:t>
            </w:r>
          </w:p>
          <w:p>
            <w:pPr>
              <w:widowControl/>
              <w:rPr>
                <w:rFonts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管理制度与措施符合专业要求，执行严格，设备编号有序，运行、维修、保养、巡检记录完整；</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6"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受托管理高压供电设备的，变配电室安全警示牌配置齐全，检修检验和安全防护用具配置齐全，年检合格；</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后备电源设备定期检测，能够随时启用；</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公共照明正常，重要设备编号有序。</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ind w:firstLine="309" w:firstLineChars="150"/>
              <w:rPr>
                <w:rFonts w:ascii="宋体" w:hAnsi="宋体" w:eastAsia="仿宋_GB2312" w:cs="宋体"/>
                <w:color w:val="000000"/>
                <w:kern w:val="0"/>
                <w:szCs w:val="21"/>
              </w:rPr>
            </w:pPr>
          </w:p>
          <w:p>
            <w:pPr>
              <w:widowControl/>
              <w:ind w:firstLine="309" w:firstLineChars="150"/>
              <w:rPr>
                <w:rFonts w:ascii="宋体" w:hAnsi="宋体" w:eastAsia="仿宋_GB2312" w:cs="宋体"/>
                <w:color w:val="000000"/>
                <w:kern w:val="0"/>
                <w:szCs w:val="21"/>
              </w:rPr>
            </w:pPr>
          </w:p>
          <w:p>
            <w:pPr>
              <w:widowControl/>
              <w:jc w:val="center"/>
              <w:rPr>
                <w:rFonts w:ascii="宋体" w:hAnsi="Calibri" w:eastAsia="仿宋_GB2312" w:cs="宋体"/>
                <w:color w:val="000000"/>
                <w:kern w:val="0"/>
                <w:szCs w:val="21"/>
              </w:rPr>
            </w:pPr>
            <w:r>
              <w:rPr>
                <w:rFonts w:hint="eastAsia" w:ascii="宋体" w:hAnsi="宋体" w:eastAsia="仿宋_GB2312" w:cs="宋体"/>
                <w:color w:val="000000"/>
                <w:kern w:val="0"/>
                <w:szCs w:val="21"/>
              </w:rPr>
              <w:t>弱电系统管理</w:t>
            </w:r>
          </w:p>
          <w:p>
            <w:pPr>
              <w:widowControl/>
              <w:rPr>
                <w:rFonts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系统设备配置齐全、运行正常、现场测试符合要求；</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系统及子系统运行、维修、保养、巡检计划周全、记录完整；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摄像监控图像清晰，按规定时间保存信息备查；</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中央控制室管理实行24小时专人值班制度。</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电梯系统管理</w:t>
            </w:r>
          </w:p>
          <w:p>
            <w:pPr>
              <w:widowControl/>
              <w:rPr>
                <w:rFonts w:ascii="宋体" w:eastAsia="仿宋_GB2312" w:cs="宋体"/>
                <w:color w:val="000000"/>
                <w:kern w:val="0"/>
                <w:szCs w:val="22"/>
              </w:rPr>
            </w:pPr>
          </w:p>
          <w:p>
            <w:pPr>
              <w:widowControl/>
              <w:rPr>
                <w:rFonts w:ascii="宋体" w:eastAsia="仿宋_GB2312" w:cs="宋体"/>
                <w:color w:val="000000"/>
                <w:kern w:val="0"/>
              </w:rPr>
            </w:pPr>
          </w:p>
          <w:p>
            <w:pPr>
              <w:widowControl/>
              <w:rPr>
                <w:rFonts w:ascii="宋体" w:eastAsia="仿宋_GB2312" w:cs="宋体"/>
                <w:color w:val="000000"/>
                <w:kern w:val="0"/>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准用（合格）证、年检证明、紧急电话和乘客注意事项置于轿厢醒目位置；</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2、电梯维修保养合同规范，维保单位的条件符合规定；</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3、电梯机房通风、照明情况良好，配有平层标志线，专业工具齐全；</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4.电梯轿厢、井道内保持清洁，轿厢广告设置有序，无乱贴、乱画；</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5、电梯运行平稳，维修、保养、检修记录完整；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6、电梯按合同约定时间运行，出现故障或险情，维修人员接到报修后20分钟内到达现场。</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给排水系统管理</w:t>
            </w:r>
          </w:p>
          <w:p>
            <w:pPr>
              <w:widowControl/>
              <w:rPr>
                <w:rFonts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二次供水水质定期检测，符合卫生标准；</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给排水及中水系统设备完好、运行正常，日检查和月、季、年保养制度完善；</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水箱加盖双锁，周边无污染源，定期清洗、消毒，检查记录完整；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水泵、阀门、管网等设备名称、流向、运行状态标志清晰，无锈蚀、无跑冒滴漏、无污染。</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避雷系统管理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配置避雷设施位置平面图；</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避雷设施定期检查、维护，记录完整。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消防系统管理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消防设施设置平面图、火警疏散示意图按幢设置在楼层明显位置；</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消防监控系统运行良好，自动和手动报警设施启动正常；</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4"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消火栓柜、防火卷帘、防火门、灭火器、疏散指示灯、应急灯及应急工具等消防设施设备完好，并定期组织检验、保养；</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消防水泵、管网、闸门等设备运行正常，测试、维修、保养记录完整；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安全疏散通道畅通，疏散标志和示意图设置合理、醒目；</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区域消防通道畅通，无杂物堆放，无违章占用。</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535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四、公共秩序维护</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12</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秩序维护管理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实行封闭式管理的小区，对外来人员、车辆和物品进出实行管理；</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5</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监控设施和门禁系统运行良好，监控记录保存符合规定要求；</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安全监控室及主出入口实行24小时值班；</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秩序维护人员配置合理，岗位责任明确；</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安全标志设置合理，对可能危及人身安全的地点和设施设备，有明显警示标志和防范措施。</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交通秩序管理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公示停车场管理规定和停车收费标准和紧急联系电话；</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停车场、停车位标志规范、清晰，车辆行驶路线设置合理、路线清晰；</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固定停放车辆签订停车服务协议，明确相关权利义务；</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车辆进出发出入证，登记及时，记录完整；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车辆进出道闸、立体停车设施运行良好，维修养护及时；</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机动、非机动车辆停放有序、无乱停乱放现象，设有集中充电设施；</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停车场、库定时巡视检查，高峰时进行车辆秩序引导；</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发现交通堵塞及时疏导，发生交通事故及时报告有关部门。</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消防安全管理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制定消防安全制度，消防安全操作规程；</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实行消防安全责任制，明确消防安全责任人；</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消防中控室实行24小时专人值班制度，值班记录完整；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消防安全定期巡视检查，消防安全隐患及时整改；</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定期开展消防安全宣传，进行消防知识培训；</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消防演练每年不少于两次，积极动员业主参与。</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35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五、环境管理服务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18</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ind w:firstLine="206"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保洁服务</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保洁人员配置合理，责任区域明确；</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10</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制定并严格执行保洁用品、范围、流程、频次、效果及评价等服务标准；</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垃圾实行分类管理，日产日清；</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保洁设施设备配置合理，工具台账完善；</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定期对保洁设施设备进行卫生消毒；</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管理区域内道路、绿地、停车场、文体活动区域等共用场地无纸屑、烟头、塑料袋等废弃物；</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房屋共用部位及共用设施设备保持清洁；</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及时清理公共场地、道路的积雪、积水；</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9 防治鼠害、虫害等有计划，有措施，有记录；</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10 对公共区域宠物活动实施有效管理。</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绿化养护管理</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绿化养护人员配置合理，责任区域明确；</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8</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制定并落实绿化养护计划；</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绿化图纸、苗木清单等资料齐全，设备、工具台帐完善；</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醒目处设置爱护绿化提示标志，重点树木品种实行标牌管理；</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定期组织浇灌、施肥、松土和喷药，提前做好防涝和防冻工作；</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绿化作业安全防护措施得当；</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各类乔、灌、草等植物长势良好，修剪整齐美观，无折损，无病虫害、斑秃现象；</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绿地无破坏、践踏、占用现象，无毁绿种菜现象，树木无悬挂物及晾晒物品。</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trPr>
        <w:tc>
          <w:tcPr>
            <w:tcW w:w="535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六、创新、效益与业主评价</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10</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ind w:firstLine="206"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服务创新</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建立并运行计算机辅助管理系统，运用社区网络、智能技术等信息化手段及其最新科技成果开展管理服务工作；</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建立并运行服务质量管理控制系统，运用先进管理工具实施物业服务全过程管控；</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制定并实施节能减排计划和方案，运用技术改造和管理创新等手段节约公用能源资源消耗，减少污染物排放；</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建立并推行新型商业模式，通过提供物业资产经营管理服务和住户生活配套服务等方式，满足业主的个性化需求。</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ind w:firstLine="206"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经营效益</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物业服务费收缴率达85%以上；</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项目两个年度以上持续盈利，经营状况良好。</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2065" w:type="dxa"/>
            <w:vMerge w:val="restart"/>
            <w:tcBorders>
              <w:top w:val="single" w:color="auto" w:sz="8" w:space="0"/>
              <w:left w:val="single" w:color="auto" w:sz="8" w:space="0"/>
              <w:bottom w:val="single" w:color="auto" w:sz="8" w:space="0"/>
              <w:right w:val="single" w:color="auto" w:sz="8" w:space="0"/>
            </w:tcBorders>
            <w:vAlign w:val="center"/>
          </w:tcPr>
          <w:p>
            <w:pPr>
              <w:widowControl/>
              <w:ind w:firstLine="206"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业主满意</w:t>
            </w: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每年至少开展一次业主满意率调查，调查覆盖率不低于80%，具备条件的，可邀请第三方机构开展业主满意度测评；</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业主满意率应达85%以上；</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满意率调查和满意度测评的内容应涵盖本标准的内容及物业服务合同的约定；</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3" w:hRule="atLeast"/>
        </w:trPr>
        <w:tc>
          <w:tcPr>
            <w:tcW w:w="20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调查和测评结果有书面报告并向业主公示，调查和测评发现的问题持续改进，改进结果向业主公示。</w:t>
            </w: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仿宋_GB2312"/>
                <w:color w:val="000000"/>
                <w:kern w:val="0"/>
                <w:szCs w:val="21"/>
              </w:rPr>
            </w:pPr>
          </w:p>
        </w:tc>
      </w:tr>
    </w:tbl>
    <w:p>
      <w:pPr>
        <w:rPr>
          <w:vanish/>
        </w:rPr>
      </w:pPr>
    </w:p>
    <w:p/>
    <w:p>
      <w:pPr>
        <w:spacing w:line="570" w:lineRule="atLeast"/>
        <w:rPr>
          <w:rFonts w:ascii="方正仿宋_GBK" w:eastAsia="方正仿宋_GBK"/>
          <w:sz w:val="32"/>
          <w:szCs w:val="32"/>
        </w:rPr>
      </w:pPr>
    </w:p>
    <w:p>
      <w:pPr>
        <w:tabs>
          <w:tab w:val="left" w:pos="1442"/>
        </w:tabs>
        <w:autoSpaceDE w:val="0"/>
        <w:autoSpaceDN w:val="0"/>
        <w:adjustRightInd w:val="0"/>
        <w:snapToGrid w:val="0"/>
        <w:spacing w:line="570" w:lineRule="atLeast"/>
        <w:ind w:left="2987" w:leftChars="1450" w:right="103" w:rightChars="50"/>
        <w:jc w:val="center"/>
      </w:pPr>
    </w:p>
    <w:p>
      <w:pPr>
        <w:spacing w:line="570" w:lineRule="atLeast"/>
        <w:rPr>
          <w:rFonts w:ascii="方正仿宋_GBK" w:eastAsia="方正仿宋_GBK"/>
          <w:sz w:val="32"/>
          <w:szCs w:val="32"/>
        </w:rPr>
      </w:pPr>
    </w:p>
    <w:p>
      <w:pPr>
        <w:tabs>
          <w:tab w:val="left" w:pos="1442"/>
        </w:tabs>
        <w:autoSpaceDE w:val="0"/>
        <w:autoSpaceDN w:val="0"/>
        <w:adjustRightInd w:val="0"/>
        <w:snapToGrid w:val="0"/>
        <w:spacing w:line="570" w:lineRule="atLeast"/>
        <w:ind w:left="2987" w:leftChars="1450" w:right="103" w:rightChars="50"/>
        <w:jc w:val="center"/>
      </w:pPr>
    </w:p>
    <w:sectPr>
      <w:headerReference r:id="rId3" w:type="default"/>
      <w:footerReference r:id="rId4" w:type="default"/>
      <w:footerReference r:id="rId5" w:type="even"/>
      <w:pgSz w:w="11906" w:h="16838"/>
      <w:pgMar w:top="1440" w:right="1800" w:bottom="1440" w:left="1800" w:header="720" w:footer="1474" w:gutter="0"/>
      <w:paperSrc w:first="15" w:other="15"/>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pPr>
    <w:r>
      <w:rPr>
        <w:rFonts w:hint="eastAsia"/>
      </w:rPr>
      <w:t xml:space="preserve">— </w:t>
    </w:r>
    <w:r>
      <w:fldChar w:fldCharType="begin"/>
    </w:r>
    <w:r>
      <w:rPr>
        <w:rStyle w:val="11"/>
      </w:rPr>
      <w:instrText xml:space="preserve"> PAGE </w:instrText>
    </w:r>
    <w:r>
      <w:fldChar w:fldCharType="separate"/>
    </w:r>
    <w:r>
      <w:rPr>
        <w:rStyle w:val="11"/>
      </w:rPr>
      <w:t>5</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both"/>
    </w:pPr>
    <w:r>
      <w:rPr>
        <w:rFonts w:hint="eastAsia"/>
      </w:rPr>
      <w:t xml:space="preserve">— </w:t>
    </w:r>
    <w:r>
      <w:fldChar w:fldCharType="begin"/>
    </w:r>
    <w:r>
      <w:rPr>
        <w:rStyle w:val="11"/>
      </w:rPr>
      <w:instrText xml:space="preserve"> PAGE </w:instrText>
    </w:r>
    <w:r>
      <w:fldChar w:fldCharType="separate"/>
    </w:r>
    <w:r>
      <w:rPr>
        <w:rStyle w:val="11"/>
      </w:rPr>
      <w:t>4</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0"/>
  <w:evenAndOddHeaders w:val="1"/>
  <w:drawingGridHorizontalSpacing w:val="315"/>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zNDg5NjExNzRjMjg3ZjNhNWU3YTQ5ZDU4OGM3MTgifQ=="/>
  </w:docVars>
  <w:rsids>
    <w:rsidRoot w:val="009C516D"/>
    <w:rsid w:val="00012779"/>
    <w:rsid w:val="00015680"/>
    <w:rsid w:val="00027BF2"/>
    <w:rsid w:val="00041FDE"/>
    <w:rsid w:val="00073870"/>
    <w:rsid w:val="00105752"/>
    <w:rsid w:val="00164FE2"/>
    <w:rsid w:val="00167E54"/>
    <w:rsid w:val="001717BD"/>
    <w:rsid w:val="0019527A"/>
    <w:rsid w:val="001A0A3E"/>
    <w:rsid w:val="001A60D9"/>
    <w:rsid w:val="001B08CF"/>
    <w:rsid w:val="001C6E41"/>
    <w:rsid w:val="001D7CFB"/>
    <w:rsid w:val="001E5439"/>
    <w:rsid w:val="00211E47"/>
    <w:rsid w:val="00223A0A"/>
    <w:rsid w:val="00247059"/>
    <w:rsid w:val="002561D5"/>
    <w:rsid w:val="002623E1"/>
    <w:rsid w:val="00281102"/>
    <w:rsid w:val="00284AAB"/>
    <w:rsid w:val="00294A91"/>
    <w:rsid w:val="002C09D8"/>
    <w:rsid w:val="0031518A"/>
    <w:rsid w:val="0032032E"/>
    <w:rsid w:val="003430C5"/>
    <w:rsid w:val="00383D55"/>
    <w:rsid w:val="003C5A90"/>
    <w:rsid w:val="00406E55"/>
    <w:rsid w:val="00411A4D"/>
    <w:rsid w:val="00414F77"/>
    <w:rsid w:val="00415B6F"/>
    <w:rsid w:val="004168D9"/>
    <w:rsid w:val="00421BC6"/>
    <w:rsid w:val="00441372"/>
    <w:rsid w:val="004520E1"/>
    <w:rsid w:val="004569EF"/>
    <w:rsid w:val="00482C22"/>
    <w:rsid w:val="0049721A"/>
    <w:rsid w:val="004C3FCA"/>
    <w:rsid w:val="004D0D15"/>
    <w:rsid w:val="004D7A0D"/>
    <w:rsid w:val="0052492D"/>
    <w:rsid w:val="00527681"/>
    <w:rsid w:val="00566C8B"/>
    <w:rsid w:val="005F6BC3"/>
    <w:rsid w:val="00600C23"/>
    <w:rsid w:val="0062124C"/>
    <w:rsid w:val="006271DF"/>
    <w:rsid w:val="0066609C"/>
    <w:rsid w:val="00685409"/>
    <w:rsid w:val="00693829"/>
    <w:rsid w:val="006A00AB"/>
    <w:rsid w:val="006A233D"/>
    <w:rsid w:val="006C4D1A"/>
    <w:rsid w:val="007063D4"/>
    <w:rsid w:val="00712DD3"/>
    <w:rsid w:val="007229DB"/>
    <w:rsid w:val="00725A0A"/>
    <w:rsid w:val="00746450"/>
    <w:rsid w:val="00765C45"/>
    <w:rsid w:val="00787BD2"/>
    <w:rsid w:val="00792939"/>
    <w:rsid w:val="007C0D75"/>
    <w:rsid w:val="007D1F4F"/>
    <w:rsid w:val="007E7A11"/>
    <w:rsid w:val="008218EF"/>
    <w:rsid w:val="0086232C"/>
    <w:rsid w:val="008625C4"/>
    <w:rsid w:val="0086365C"/>
    <w:rsid w:val="00884CD1"/>
    <w:rsid w:val="008D01A5"/>
    <w:rsid w:val="008E0A7C"/>
    <w:rsid w:val="008F15B3"/>
    <w:rsid w:val="009207E2"/>
    <w:rsid w:val="00942278"/>
    <w:rsid w:val="00980879"/>
    <w:rsid w:val="009866B4"/>
    <w:rsid w:val="0099191D"/>
    <w:rsid w:val="009C516D"/>
    <w:rsid w:val="009C7C1E"/>
    <w:rsid w:val="009D30E1"/>
    <w:rsid w:val="009D3210"/>
    <w:rsid w:val="009D7B44"/>
    <w:rsid w:val="009E6B98"/>
    <w:rsid w:val="009F1E23"/>
    <w:rsid w:val="009F2AA1"/>
    <w:rsid w:val="009F6178"/>
    <w:rsid w:val="009F7366"/>
    <w:rsid w:val="00A14E5E"/>
    <w:rsid w:val="00A21E57"/>
    <w:rsid w:val="00A53498"/>
    <w:rsid w:val="00A71F3B"/>
    <w:rsid w:val="00A9132F"/>
    <w:rsid w:val="00A92081"/>
    <w:rsid w:val="00AA261A"/>
    <w:rsid w:val="00AA73FD"/>
    <w:rsid w:val="00AB5820"/>
    <w:rsid w:val="00AC2D6F"/>
    <w:rsid w:val="00AD27F0"/>
    <w:rsid w:val="00AF1F3E"/>
    <w:rsid w:val="00AF2714"/>
    <w:rsid w:val="00B07030"/>
    <w:rsid w:val="00B15E6C"/>
    <w:rsid w:val="00B27B06"/>
    <w:rsid w:val="00B34963"/>
    <w:rsid w:val="00B34968"/>
    <w:rsid w:val="00B45DFA"/>
    <w:rsid w:val="00B547AB"/>
    <w:rsid w:val="00B56C8E"/>
    <w:rsid w:val="00B770A9"/>
    <w:rsid w:val="00B868E8"/>
    <w:rsid w:val="00BA0522"/>
    <w:rsid w:val="00BB3E9F"/>
    <w:rsid w:val="00BC7F03"/>
    <w:rsid w:val="00BE03FA"/>
    <w:rsid w:val="00BE2529"/>
    <w:rsid w:val="00BE711D"/>
    <w:rsid w:val="00C05F8C"/>
    <w:rsid w:val="00C22A71"/>
    <w:rsid w:val="00C5235F"/>
    <w:rsid w:val="00C708D5"/>
    <w:rsid w:val="00CA089D"/>
    <w:rsid w:val="00CA147F"/>
    <w:rsid w:val="00CB3D56"/>
    <w:rsid w:val="00CE33EA"/>
    <w:rsid w:val="00D0303E"/>
    <w:rsid w:val="00D16B1C"/>
    <w:rsid w:val="00D30FA9"/>
    <w:rsid w:val="00D31CD2"/>
    <w:rsid w:val="00D32BAD"/>
    <w:rsid w:val="00D603BF"/>
    <w:rsid w:val="00D85619"/>
    <w:rsid w:val="00D93361"/>
    <w:rsid w:val="00DB0FB3"/>
    <w:rsid w:val="00E21983"/>
    <w:rsid w:val="00E57626"/>
    <w:rsid w:val="00E773B6"/>
    <w:rsid w:val="00EA2C36"/>
    <w:rsid w:val="00EB1DBE"/>
    <w:rsid w:val="00EB2032"/>
    <w:rsid w:val="00ED5FD5"/>
    <w:rsid w:val="00EE2238"/>
    <w:rsid w:val="00F21CA1"/>
    <w:rsid w:val="00F23765"/>
    <w:rsid w:val="00F40C57"/>
    <w:rsid w:val="00F923D5"/>
    <w:rsid w:val="00FC5AE9"/>
    <w:rsid w:val="00FD265D"/>
    <w:rsid w:val="00FE1FB5"/>
    <w:rsid w:val="00FE2032"/>
    <w:rsid w:val="00FE75DB"/>
    <w:rsid w:val="09E15B84"/>
    <w:rsid w:val="0CD56D9C"/>
    <w:rsid w:val="0FE11148"/>
    <w:rsid w:val="1BC06CC7"/>
    <w:rsid w:val="1FBC5A21"/>
    <w:rsid w:val="1FDB1F65"/>
    <w:rsid w:val="213E5A47"/>
    <w:rsid w:val="23B1422B"/>
    <w:rsid w:val="29D63E58"/>
    <w:rsid w:val="2AAF0D6A"/>
    <w:rsid w:val="33402235"/>
    <w:rsid w:val="358024D4"/>
    <w:rsid w:val="40D67646"/>
    <w:rsid w:val="46407F70"/>
    <w:rsid w:val="49A46D4E"/>
    <w:rsid w:val="4CBF7AF9"/>
    <w:rsid w:val="5861593F"/>
    <w:rsid w:val="609D67B6"/>
    <w:rsid w:val="65033347"/>
    <w:rsid w:val="70F02B00"/>
    <w:rsid w:val="757260C0"/>
    <w:rsid w:val="75846018"/>
    <w:rsid w:val="7B690E7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iPriority w:val="0"/>
    <w:pPr>
      <w:adjustRightInd w:val="0"/>
      <w:jc w:val="left"/>
    </w:pPr>
    <w:rPr>
      <w:spacing w:val="-25"/>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pacing w:line="400" w:lineRule="atLeast"/>
      <w:jc w:val="center"/>
    </w:pPr>
    <w:rPr>
      <w:sz w:val="28"/>
    </w:rPr>
  </w:style>
  <w:style w:type="paragraph" w:styleId="6">
    <w:name w:val="header"/>
    <w:basedOn w:val="1"/>
    <w:uiPriority w:val="0"/>
    <w:pPr>
      <w:tabs>
        <w:tab w:val="center" w:pos="4153"/>
        <w:tab w:val="right" w:pos="8306"/>
      </w:tabs>
      <w:spacing w:line="240" w:lineRule="atLeast"/>
      <w:jc w:val="center"/>
    </w:pPr>
    <w:rPr>
      <w:sz w:val="18"/>
    </w:rPr>
  </w:style>
  <w:style w:type="paragraph" w:styleId="7">
    <w:name w:val="Normal (Web)"/>
    <w:basedOn w:val="1"/>
    <w:unhideWhenUsed/>
    <w:uiPriority w:val="99"/>
    <w:pPr>
      <w:spacing w:before="100" w:beforeAutospacing="1" w:after="100" w:afterAutospacing="1"/>
      <w:jc w:val="left"/>
    </w:pPr>
    <w:rPr>
      <w:rFonts w:ascii="Calibri" w:hAnsi="Calibri"/>
      <w:kern w:val="0"/>
      <w:sz w:val="24"/>
    </w:rPr>
  </w:style>
  <w:style w:type="table" w:styleId="9">
    <w:name w:val="Table Grid"/>
    <w:basedOn w:val="8"/>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红线"/>
    <w:basedOn w:val="2"/>
    <w:uiPriority w:val="0"/>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13">
    <w:name w:val="印数"/>
    <w:basedOn w:val="14"/>
    <w:uiPriority w:val="0"/>
    <w:pPr>
      <w:tabs>
        <w:tab w:val="right" w:pos="8465"/>
      </w:tabs>
      <w:spacing w:line="400" w:lineRule="atLeast"/>
      <w:jc w:val="right"/>
    </w:pPr>
  </w:style>
  <w:style w:type="paragraph" w:customStyle="1" w:styleId="14">
    <w:name w:val="印发栏"/>
    <w:basedOn w:val="3"/>
    <w:uiPriority w:val="0"/>
    <w:pPr>
      <w:tabs>
        <w:tab w:val="right" w:pos="8465"/>
      </w:tabs>
      <w:spacing w:line="454" w:lineRule="atLeast"/>
      <w:ind w:left="357" w:right="357"/>
    </w:pPr>
    <w:rPr>
      <w:spacing w:val="0"/>
    </w:rPr>
  </w:style>
  <w:style w:type="paragraph" w:customStyle="1" w:styleId="15">
    <w:name w:val="标题3"/>
    <w:basedOn w:val="1"/>
    <w:next w:val="1"/>
    <w:uiPriority w:val="0"/>
    <w:rPr>
      <w:rFonts w:eastAsia="方正黑体_GBK"/>
    </w:rPr>
  </w:style>
  <w:style w:type="paragraph" w:customStyle="1" w:styleId="16">
    <w:name w:val="标题2"/>
    <w:basedOn w:val="1"/>
    <w:next w:val="1"/>
    <w:uiPriority w:val="0"/>
    <w:pPr>
      <w:jc w:val="center"/>
    </w:pPr>
    <w:rPr>
      <w:rFonts w:eastAsia="方正楷体_GBK"/>
    </w:rPr>
  </w:style>
  <w:style w:type="paragraph" w:customStyle="1" w:styleId="17">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18">
    <w:name w:val="抄送栏"/>
    <w:basedOn w:val="1"/>
    <w:qFormat/>
    <w:uiPriority w:val="0"/>
    <w:pPr>
      <w:adjustRightInd w:val="0"/>
      <w:spacing w:line="454" w:lineRule="atLeast"/>
      <w:ind w:left="1310" w:right="357" w:hanging="953"/>
    </w:pPr>
  </w:style>
  <w:style w:type="paragraph" w:customStyle="1" w:styleId="19">
    <w:name w:val="标题1"/>
    <w:basedOn w:val="1"/>
    <w:next w:val="1"/>
    <w:uiPriority w:val="0"/>
    <w:pPr>
      <w:tabs>
        <w:tab w:val="left" w:pos="9193"/>
        <w:tab w:val="left" w:pos="9827"/>
      </w:tabs>
      <w:spacing w:line="640" w:lineRule="atLeast"/>
      <w:jc w:val="center"/>
    </w:pPr>
    <w:rPr>
      <w:rFonts w:eastAsia="方正小标宋_GBK"/>
      <w:sz w:val="44"/>
    </w:rPr>
  </w:style>
  <w:style w:type="paragraph" w:customStyle="1" w:styleId="20">
    <w:name w:val="样式1"/>
    <w:basedOn w:val="1"/>
    <w:uiPriority w:val="0"/>
  </w:style>
  <w:style w:type="paragraph" w:customStyle="1" w:styleId="21">
    <w:name w:val="紧急程度"/>
    <w:basedOn w:val="22"/>
    <w:uiPriority w:val="0"/>
    <w:pPr>
      <w:overflowPunct w:val="0"/>
    </w:pPr>
    <w:rPr>
      <w:sz w:val="32"/>
    </w:rPr>
  </w:style>
  <w:style w:type="paragraph" w:customStyle="1" w:styleId="22">
    <w:name w:val="密级"/>
    <w:basedOn w:val="1"/>
    <w:uiPriority w:val="0"/>
    <w:pPr>
      <w:adjustRightInd w:val="0"/>
      <w:spacing w:line="440" w:lineRule="atLeast"/>
      <w:jc w:val="right"/>
    </w:pPr>
    <w:rPr>
      <w:rFonts w:ascii="黑体" w:eastAsia="黑体"/>
      <w:kern w:val="0"/>
      <w:sz w:val="30"/>
    </w:rPr>
  </w:style>
  <w:style w:type="paragraph" w:customStyle="1" w:styleId="23">
    <w:name w:val="附件栏"/>
    <w:basedOn w:val="1"/>
    <w:uiPriority w:val="0"/>
  </w:style>
  <w:style w:type="paragraph" w:customStyle="1" w:styleId="24">
    <w:name w:val="线型"/>
    <w:basedOn w:val="18"/>
    <w:uiPriority w:val="0"/>
    <w:pPr>
      <w:spacing w:line="240" w:lineRule="auto"/>
      <w:ind w:left="0"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q\Desktop\&#21381;&#21457;&#25991;&#65288;&#19979;&#34892;&#2599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厅发文（下行文）.dot</Template>
  <Company>HP</Company>
  <Pages>13</Pages>
  <Words>5626</Words>
  <Characters>5736</Characters>
  <Lines>51</Lines>
  <Paragraphs>14</Paragraphs>
  <TotalTime>17</TotalTime>
  <ScaleCrop>false</ScaleCrop>
  <LinksUpToDate>false</LinksUpToDate>
  <CharactersWithSpaces>5954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2020-01-22T09:02:00Z</dcterms:created>
  <dc:creator>gxq</dc:creator>
  <cp:lastModifiedBy>婳珩</cp:lastModifiedBy>
  <dcterms:modified xsi:type="dcterms:W3CDTF">2023-02-28T02:29:04Z</dcterms:modified>
  <dc:title>省政府办公厅关于加强城市地下管线建设管理的实施意见(苏政办发〔2014〕110号)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D02228AEB067426CAEFB97E09FB4D92E</vt:lpwstr>
  </property>
</Properties>
</file>